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39B21C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 w14:paraId="3CEC351C">
      <w:pPr>
        <w:adjustRightInd w:val="0"/>
        <w:snapToGrid w:val="0"/>
        <w:spacing w:line="360" w:lineRule="auto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基层农技推广体系改革与建设项目</w:t>
      </w:r>
    </w:p>
    <w:p w14:paraId="543A2B24">
      <w:pPr>
        <w:adjustRightInd w:val="0"/>
        <w:snapToGrid w:val="0"/>
        <w:spacing w:line="360" w:lineRule="auto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实施方案</w:t>
      </w:r>
    </w:p>
    <w:p w14:paraId="0AA9C386">
      <w:pPr>
        <w:spacing w:line="360" w:lineRule="auto"/>
        <w:rPr>
          <w:sz w:val="32"/>
          <w:szCs w:val="32"/>
        </w:rPr>
      </w:pPr>
    </w:p>
    <w:p w14:paraId="6585CF19">
      <w:pPr>
        <w:spacing w:line="360" w:lineRule="auto"/>
        <w:rPr>
          <w:sz w:val="32"/>
          <w:szCs w:val="32"/>
        </w:rPr>
      </w:pPr>
    </w:p>
    <w:p w14:paraId="2EDC9F3B">
      <w:pPr>
        <w:spacing w:line="360" w:lineRule="auto"/>
        <w:rPr>
          <w:sz w:val="32"/>
          <w:szCs w:val="32"/>
        </w:rPr>
      </w:pPr>
    </w:p>
    <w:p w14:paraId="15236C20">
      <w:pPr>
        <w:spacing w:line="360" w:lineRule="auto"/>
        <w:ind w:firstLine="570" w:firstLineChars="200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单 位 全 称：</w:t>
      </w:r>
      <w:r>
        <w:rPr>
          <w:rFonts w:hint="eastAsia" w:ascii="黑体" w:hAnsi="黑体" w:eastAsia="黑体" w:cs="黑体"/>
          <w:sz w:val="28"/>
          <w:szCs w:val="28"/>
          <w:lang w:eastAsia="zh-CN"/>
        </w:rPr>
        <w:t>晋州市农业农村局</w:t>
      </w:r>
    </w:p>
    <w:p w14:paraId="6B38E821">
      <w:pPr>
        <w:spacing w:line="360" w:lineRule="auto"/>
        <w:ind w:firstLine="570" w:firstLineChars="200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通 讯 地 址：</w:t>
      </w:r>
      <w:r>
        <w:rPr>
          <w:rFonts w:hint="eastAsia" w:ascii="黑体" w:hAnsi="黑体" w:eastAsia="黑体" w:cs="黑体"/>
          <w:sz w:val="28"/>
          <w:szCs w:val="28"/>
          <w:lang w:eastAsia="zh-CN"/>
        </w:rPr>
        <w:t>晋州市通达路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137号</w:t>
      </w:r>
    </w:p>
    <w:p w14:paraId="38DAC2AF">
      <w:pPr>
        <w:spacing w:line="360" w:lineRule="auto"/>
        <w:ind w:firstLine="570" w:firstLineChars="200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邮 政 编 码：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052260</w:t>
      </w:r>
    </w:p>
    <w:p w14:paraId="6CFD5E99">
      <w:pPr>
        <w:spacing w:line="360" w:lineRule="auto"/>
        <w:ind w:firstLine="570" w:firstLineChars="200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单位负责人姓名：</w:t>
      </w:r>
      <w:r>
        <w:rPr>
          <w:rFonts w:hint="eastAsia" w:ascii="黑体" w:hAnsi="黑体" w:eastAsia="黑体" w:cs="黑体"/>
          <w:sz w:val="28"/>
          <w:szCs w:val="28"/>
          <w:lang w:eastAsia="zh-CN"/>
        </w:rPr>
        <w:t>高立军</w:t>
      </w:r>
    </w:p>
    <w:p w14:paraId="2FA540F1">
      <w:pPr>
        <w:spacing w:line="360" w:lineRule="auto"/>
        <w:ind w:firstLine="570" w:firstLineChars="200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联系人姓名：</w:t>
      </w:r>
      <w:r>
        <w:rPr>
          <w:rFonts w:hint="eastAsia" w:ascii="黑体" w:hAnsi="黑体" w:eastAsia="黑体" w:cs="黑体"/>
          <w:sz w:val="28"/>
          <w:szCs w:val="28"/>
          <w:lang w:eastAsia="zh-CN"/>
        </w:rPr>
        <w:t>宁学师</w:t>
      </w:r>
    </w:p>
    <w:p w14:paraId="4AC6D0EA">
      <w:pPr>
        <w:spacing w:line="360" w:lineRule="auto"/>
        <w:ind w:firstLine="570" w:firstLineChars="200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 xml:space="preserve">联系电话（办公、手机）： 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0311-84322817 17732180800</w:t>
      </w:r>
    </w:p>
    <w:p w14:paraId="0609D6E4">
      <w:pPr>
        <w:spacing w:line="360" w:lineRule="auto"/>
        <w:ind w:firstLine="570" w:firstLineChars="200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电子信箱：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jznmjkjk@163.com</w:t>
      </w:r>
    </w:p>
    <w:p w14:paraId="0756818B">
      <w:pPr>
        <w:spacing w:line="360" w:lineRule="auto"/>
        <w:ind w:firstLine="570" w:firstLineChars="200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 xml:space="preserve">填报日期：  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2026</w:t>
      </w:r>
      <w:r>
        <w:rPr>
          <w:rFonts w:hint="eastAsia" w:ascii="黑体" w:hAnsi="黑体" w:eastAsia="黑体" w:cs="黑体"/>
          <w:sz w:val="28"/>
          <w:szCs w:val="28"/>
        </w:rPr>
        <w:t>年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3</w:t>
      </w:r>
      <w:r>
        <w:rPr>
          <w:rFonts w:hint="eastAsia" w:ascii="黑体" w:hAnsi="黑体" w:eastAsia="黑体" w:cs="黑体"/>
          <w:sz w:val="28"/>
          <w:szCs w:val="28"/>
        </w:rPr>
        <w:t>月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10</w:t>
      </w:r>
      <w:r>
        <w:rPr>
          <w:rFonts w:hint="eastAsia" w:ascii="黑体" w:hAnsi="黑体" w:eastAsia="黑体" w:cs="黑体"/>
          <w:sz w:val="28"/>
          <w:szCs w:val="28"/>
        </w:rPr>
        <w:t>日</w:t>
      </w:r>
    </w:p>
    <w:p w14:paraId="17271536">
      <w:pPr>
        <w:spacing w:line="360" w:lineRule="auto"/>
        <w:ind w:firstLine="570" w:firstLineChars="200"/>
        <w:rPr>
          <w:rFonts w:hint="eastAsia" w:ascii="黑体" w:hAnsi="黑体" w:eastAsia="黑体" w:cs="黑体"/>
          <w:sz w:val="28"/>
          <w:szCs w:val="28"/>
        </w:rPr>
      </w:pPr>
    </w:p>
    <w:p w14:paraId="17B3EAFA">
      <w:pPr>
        <w:spacing w:line="360" w:lineRule="auto"/>
        <w:jc w:val="center"/>
        <w:rPr>
          <w:rFonts w:eastAsia="方正书宋_GBK"/>
          <w:b/>
          <w:bCs/>
          <w:sz w:val="36"/>
          <w:szCs w:val="32"/>
        </w:rPr>
      </w:pPr>
    </w:p>
    <w:p w14:paraId="71FF3E15">
      <w:pPr>
        <w:spacing w:line="360" w:lineRule="auto"/>
        <w:jc w:val="center"/>
        <w:rPr>
          <w:rFonts w:hint="default" w:eastAsia="方正书宋_GBK"/>
          <w:b w:val="0"/>
          <w:bCs w:val="0"/>
          <w:sz w:val="36"/>
          <w:szCs w:val="32"/>
          <w:lang w:val="en-US" w:eastAsia="zh-CN"/>
        </w:rPr>
        <w:sectPr>
          <w:footerReference r:id="rId3" w:type="default"/>
          <w:pgSz w:w="11906" w:h="16838"/>
          <w:pgMar w:top="2098" w:right="1531" w:bottom="1984" w:left="1531" w:header="850" w:footer="992" w:gutter="0"/>
          <w:pgNumType w:fmt="decimal" w:start="1"/>
          <w:cols w:space="720" w:num="1"/>
          <w:rtlGutter w:val="0"/>
          <w:docGrid w:type="linesAndChars" w:linePitch="319" w:charSpace="1168"/>
        </w:sectPr>
      </w:pPr>
    </w:p>
    <w:p w14:paraId="120E7328">
      <w:pPr>
        <w:jc w:val="center"/>
        <w:rPr>
          <w:rFonts w:eastAsia="方正小标宋简体"/>
          <w:sz w:val="36"/>
          <w:szCs w:val="28"/>
        </w:rPr>
      </w:pPr>
      <w:r>
        <w:rPr>
          <w:rFonts w:eastAsia="方正小标宋简体"/>
          <w:sz w:val="36"/>
          <w:szCs w:val="28"/>
        </w:rPr>
        <w:t>基本情况表</w:t>
      </w:r>
    </w:p>
    <w:tbl>
      <w:tblPr>
        <w:tblStyle w:val="5"/>
        <w:tblW w:w="0" w:type="auto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9"/>
        <w:gridCol w:w="275"/>
        <w:gridCol w:w="951"/>
        <w:gridCol w:w="208"/>
        <w:gridCol w:w="735"/>
        <w:gridCol w:w="458"/>
        <w:gridCol w:w="833"/>
        <w:gridCol w:w="336"/>
        <w:gridCol w:w="392"/>
        <w:gridCol w:w="884"/>
        <w:gridCol w:w="210"/>
        <w:gridCol w:w="734"/>
        <w:gridCol w:w="421"/>
        <w:gridCol w:w="557"/>
        <w:gridCol w:w="687"/>
        <w:gridCol w:w="462"/>
        <w:gridCol w:w="600"/>
        <w:gridCol w:w="492"/>
        <w:gridCol w:w="1044"/>
        <w:gridCol w:w="422"/>
        <w:gridCol w:w="7"/>
        <w:gridCol w:w="298"/>
        <w:gridCol w:w="889"/>
      </w:tblGrid>
      <w:tr w14:paraId="1AC1627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94" w:type="dxa"/>
            <w:gridSpan w:val="2"/>
            <w:noWrap w:val="0"/>
            <w:vAlign w:val="center"/>
          </w:tcPr>
          <w:p w14:paraId="106653F8">
            <w:pPr>
              <w:adjustRightInd w:val="0"/>
              <w:snapToGrid w:val="0"/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总人口数</w:t>
            </w:r>
          </w:p>
          <w:p w14:paraId="692A7A15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（万人）</w:t>
            </w:r>
          </w:p>
        </w:tc>
        <w:tc>
          <w:tcPr>
            <w:tcW w:w="1159" w:type="dxa"/>
            <w:gridSpan w:val="2"/>
            <w:noWrap w:val="0"/>
            <w:vAlign w:val="center"/>
          </w:tcPr>
          <w:p w14:paraId="17E4B455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highlight w:val="none"/>
                <w:lang w:val="en-US" w:eastAsia="zh-CN"/>
              </w:rPr>
              <w:t>51</w:t>
            </w:r>
          </w:p>
        </w:tc>
        <w:tc>
          <w:tcPr>
            <w:tcW w:w="1193" w:type="dxa"/>
            <w:gridSpan w:val="2"/>
            <w:noWrap w:val="0"/>
            <w:vAlign w:val="center"/>
          </w:tcPr>
          <w:p w14:paraId="3F619A86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农业人口数（万人）</w:t>
            </w:r>
          </w:p>
        </w:tc>
        <w:tc>
          <w:tcPr>
            <w:tcW w:w="1169" w:type="dxa"/>
            <w:gridSpan w:val="2"/>
            <w:noWrap w:val="0"/>
            <w:vAlign w:val="center"/>
          </w:tcPr>
          <w:p w14:paraId="7706FB11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highlight w:val="none"/>
                <w:lang w:val="en-US" w:eastAsia="zh-CN"/>
              </w:rPr>
              <w:t>42.62</w:t>
            </w:r>
          </w:p>
        </w:tc>
        <w:tc>
          <w:tcPr>
            <w:tcW w:w="1486" w:type="dxa"/>
            <w:gridSpan w:val="3"/>
            <w:noWrap w:val="0"/>
            <w:vAlign w:val="center"/>
          </w:tcPr>
          <w:p w14:paraId="193BE57F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新型经营主体数量</w:t>
            </w:r>
          </w:p>
          <w:p w14:paraId="5A3BF573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（个）</w:t>
            </w:r>
          </w:p>
        </w:tc>
        <w:tc>
          <w:tcPr>
            <w:tcW w:w="1155" w:type="dxa"/>
            <w:gridSpan w:val="2"/>
            <w:noWrap w:val="0"/>
            <w:vAlign w:val="center"/>
          </w:tcPr>
          <w:p w14:paraId="76974079">
            <w:pPr>
              <w:spacing w:line="320" w:lineRule="exact"/>
              <w:jc w:val="center"/>
              <w:rPr>
                <w:rFonts w:hint="default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966</w:t>
            </w:r>
          </w:p>
        </w:tc>
        <w:tc>
          <w:tcPr>
            <w:tcW w:w="1244" w:type="dxa"/>
            <w:gridSpan w:val="2"/>
            <w:noWrap w:val="0"/>
            <w:vAlign w:val="center"/>
          </w:tcPr>
          <w:p w14:paraId="32ECF094">
            <w:pPr>
              <w:adjustRightInd w:val="0"/>
              <w:snapToGrid w:val="0"/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耕地面积</w:t>
            </w:r>
          </w:p>
          <w:p w14:paraId="65DCDEA6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（万亩）</w:t>
            </w:r>
          </w:p>
        </w:tc>
        <w:tc>
          <w:tcPr>
            <w:tcW w:w="1062" w:type="dxa"/>
            <w:gridSpan w:val="2"/>
            <w:noWrap w:val="0"/>
            <w:vAlign w:val="center"/>
          </w:tcPr>
          <w:p w14:paraId="2EF57060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59.5</w:t>
            </w:r>
          </w:p>
        </w:tc>
        <w:tc>
          <w:tcPr>
            <w:tcW w:w="1965" w:type="dxa"/>
            <w:gridSpan w:val="4"/>
            <w:noWrap w:val="0"/>
            <w:vAlign w:val="center"/>
          </w:tcPr>
          <w:p w14:paraId="4F54968E">
            <w:pPr>
              <w:adjustRightInd w:val="0"/>
              <w:snapToGrid w:val="0"/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经营主体</w:t>
            </w:r>
            <w:r>
              <w:rPr>
                <w:rFonts w:hint="eastAsia" w:eastAsia="方正书宋_GBK"/>
                <w:szCs w:val="21"/>
              </w:rPr>
              <w:t>注册</w:t>
            </w:r>
            <w:r>
              <w:rPr>
                <w:rFonts w:eastAsia="方正书宋_GBK"/>
                <w:szCs w:val="21"/>
              </w:rPr>
              <w:t>使用农技云平台数量</w:t>
            </w:r>
          </w:p>
        </w:tc>
        <w:tc>
          <w:tcPr>
            <w:tcW w:w="1187" w:type="dxa"/>
            <w:gridSpan w:val="2"/>
            <w:noWrap w:val="0"/>
            <w:vAlign w:val="center"/>
          </w:tcPr>
          <w:p w14:paraId="088132D9">
            <w:pPr>
              <w:spacing w:line="320" w:lineRule="exact"/>
              <w:jc w:val="center"/>
              <w:rPr>
                <w:rFonts w:hint="default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966</w:t>
            </w:r>
          </w:p>
        </w:tc>
      </w:tr>
      <w:tr w14:paraId="397A66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94" w:type="dxa"/>
            <w:gridSpan w:val="2"/>
            <w:noWrap w:val="0"/>
            <w:vAlign w:val="center"/>
          </w:tcPr>
          <w:p w14:paraId="5F96B957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农业总产值（万元）</w:t>
            </w:r>
          </w:p>
        </w:tc>
        <w:tc>
          <w:tcPr>
            <w:tcW w:w="1159" w:type="dxa"/>
            <w:gridSpan w:val="2"/>
            <w:noWrap w:val="0"/>
            <w:vAlign w:val="center"/>
          </w:tcPr>
          <w:p w14:paraId="0874E5EB">
            <w:pPr>
              <w:spacing w:line="320" w:lineRule="exact"/>
              <w:jc w:val="center"/>
              <w:rPr>
                <w:rFonts w:hint="default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721938</w:t>
            </w:r>
          </w:p>
        </w:tc>
        <w:tc>
          <w:tcPr>
            <w:tcW w:w="1193" w:type="dxa"/>
            <w:gridSpan w:val="2"/>
            <w:noWrap w:val="0"/>
            <w:vAlign w:val="center"/>
          </w:tcPr>
          <w:p w14:paraId="7247A1CE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农民人均纯收入</w:t>
            </w:r>
          </w:p>
          <w:p w14:paraId="62200E5C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（元）</w:t>
            </w:r>
          </w:p>
        </w:tc>
        <w:tc>
          <w:tcPr>
            <w:tcW w:w="1169" w:type="dxa"/>
            <w:gridSpan w:val="2"/>
            <w:noWrap w:val="0"/>
            <w:vAlign w:val="center"/>
          </w:tcPr>
          <w:p w14:paraId="38177AF2">
            <w:pPr>
              <w:spacing w:line="320" w:lineRule="exact"/>
              <w:jc w:val="center"/>
              <w:rPr>
                <w:rFonts w:hint="default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31138</w:t>
            </w:r>
          </w:p>
        </w:tc>
        <w:tc>
          <w:tcPr>
            <w:tcW w:w="1486" w:type="dxa"/>
            <w:gridSpan w:val="3"/>
            <w:noWrap w:val="0"/>
            <w:vAlign w:val="center"/>
          </w:tcPr>
          <w:p w14:paraId="25A0AD3E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农技人员</w:t>
            </w:r>
          </w:p>
          <w:p w14:paraId="1B91CFB2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数量</w:t>
            </w:r>
          </w:p>
          <w:p w14:paraId="694F269A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（名）</w:t>
            </w:r>
          </w:p>
        </w:tc>
        <w:tc>
          <w:tcPr>
            <w:tcW w:w="1155" w:type="dxa"/>
            <w:gridSpan w:val="2"/>
            <w:noWrap w:val="0"/>
            <w:vAlign w:val="center"/>
          </w:tcPr>
          <w:p w14:paraId="4C210D29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96</w:t>
            </w:r>
          </w:p>
        </w:tc>
        <w:tc>
          <w:tcPr>
            <w:tcW w:w="1244" w:type="dxa"/>
            <w:gridSpan w:val="2"/>
            <w:noWrap w:val="0"/>
            <w:vAlign w:val="center"/>
          </w:tcPr>
          <w:p w14:paraId="4ED3406A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特聘计划（人数）</w:t>
            </w:r>
          </w:p>
        </w:tc>
        <w:tc>
          <w:tcPr>
            <w:tcW w:w="1062" w:type="dxa"/>
            <w:gridSpan w:val="2"/>
            <w:noWrap w:val="0"/>
            <w:vAlign w:val="center"/>
          </w:tcPr>
          <w:p w14:paraId="51854F99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5</w:t>
            </w:r>
          </w:p>
        </w:tc>
        <w:tc>
          <w:tcPr>
            <w:tcW w:w="1965" w:type="dxa"/>
            <w:gridSpan w:val="4"/>
            <w:noWrap w:val="0"/>
            <w:vAlign w:val="center"/>
          </w:tcPr>
          <w:p w14:paraId="037F80D1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农技人员</w:t>
            </w:r>
            <w:r>
              <w:rPr>
                <w:rFonts w:hint="eastAsia" w:eastAsia="方正书宋_GBK"/>
                <w:szCs w:val="21"/>
              </w:rPr>
              <w:t>注册</w:t>
            </w:r>
            <w:r>
              <w:rPr>
                <w:rFonts w:eastAsia="方正书宋_GBK"/>
                <w:szCs w:val="21"/>
              </w:rPr>
              <w:t>使用农技云平台数量</w:t>
            </w:r>
          </w:p>
        </w:tc>
        <w:tc>
          <w:tcPr>
            <w:tcW w:w="1187" w:type="dxa"/>
            <w:gridSpan w:val="2"/>
            <w:noWrap w:val="0"/>
            <w:vAlign w:val="center"/>
          </w:tcPr>
          <w:p w14:paraId="245D5D28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101</w:t>
            </w:r>
          </w:p>
        </w:tc>
      </w:tr>
      <w:tr w14:paraId="4FB9B61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94" w:type="dxa"/>
            <w:gridSpan w:val="2"/>
            <w:noWrap w:val="0"/>
            <w:vAlign w:val="center"/>
          </w:tcPr>
          <w:p w14:paraId="60A0C315">
            <w:pPr>
              <w:spacing w:line="320" w:lineRule="exact"/>
              <w:jc w:val="center"/>
              <w:rPr>
                <w:rFonts w:hint="eastAsia" w:eastAsia="方正书宋_GBK"/>
                <w:szCs w:val="21"/>
              </w:rPr>
            </w:pPr>
            <w:r>
              <w:rPr>
                <w:rFonts w:hint="eastAsia" w:eastAsia="方正书宋_GBK"/>
                <w:szCs w:val="21"/>
              </w:rPr>
              <w:t>农业创新驿站（个数）</w:t>
            </w:r>
          </w:p>
        </w:tc>
        <w:tc>
          <w:tcPr>
            <w:tcW w:w="1159" w:type="dxa"/>
            <w:gridSpan w:val="2"/>
            <w:noWrap w:val="0"/>
            <w:vAlign w:val="center"/>
          </w:tcPr>
          <w:p w14:paraId="6A743BD3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5</w:t>
            </w:r>
          </w:p>
        </w:tc>
        <w:tc>
          <w:tcPr>
            <w:tcW w:w="1193" w:type="dxa"/>
            <w:gridSpan w:val="2"/>
            <w:noWrap w:val="0"/>
            <w:vAlign w:val="center"/>
          </w:tcPr>
          <w:p w14:paraId="2351B8B3">
            <w:pPr>
              <w:spacing w:line="320" w:lineRule="exact"/>
              <w:jc w:val="center"/>
              <w:rPr>
                <w:rFonts w:hint="eastAsia" w:eastAsia="方正书宋_GBK"/>
                <w:szCs w:val="21"/>
              </w:rPr>
            </w:pPr>
            <w:r>
              <w:rPr>
                <w:rFonts w:hint="eastAsia" w:eastAsia="方正书宋_GBK"/>
                <w:szCs w:val="21"/>
              </w:rPr>
              <w:t>农业创新驿站专家总数</w:t>
            </w:r>
          </w:p>
        </w:tc>
        <w:tc>
          <w:tcPr>
            <w:tcW w:w="1169" w:type="dxa"/>
            <w:gridSpan w:val="2"/>
            <w:noWrap w:val="0"/>
            <w:vAlign w:val="center"/>
          </w:tcPr>
          <w:p w14:paraId="23F108EC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50</w:t>
            </w:r>
          </w:p>
        </w:tc>
        <w:tc>
          <w:tcPr>
            <w:tcW w:w="1486" w:type="dxa"/>
            <w:gridSpan w:val="3"/>
            <w:noWrap w:val="0"/>
            <w:vAlign w:val="center"/>
          </w:tcPr>
          <w:p w14:paraId="33EF74D4">
            <w:pPr>
              <w:spacing w:line="320" w:lineRule="exact"/>
              <w:jc w:val="center"/>
              <w:rPr>
                <w:rFonts w:hint="eastAsia" w:eastAsia="方正书宋_GBK"/>
                <w:szCs w:val="21"/>
              </w:rPr>
            </w:pPr>
            <w:r>
              <w:rPr>
                <w:rFonts w:hint="eastAsia" w:eastAsia="方正书宋_GBK"/>
                <w:szCs w:val="21"/>
              </w:rPr>
              <w:t>五级产业技术服务体系中县级专家人数</w:t>
            </w:r>
          </w:p>
        </w:tc>
        <w:tc>
          <w:tcPr>
            <w:tcW w:w="1155" w:type="dxa"/>
            <w:gridSpan w:val="2"/>
            <w:noWrap w:val="0"/>
            <w:vAlign w:val="center"/>
          </w:tcPr>
          <w:p w14:paraId="74659297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23</w:t>
            </w:r>
          </w:p>
        </w:tc>
        <w:tc>
          <w:tcPr>
            <w:tcW w:w="1244" w:type="dxa"/>
            <w:gridSpan w:val="2"/>
            <w:noWrap w:val="0"/>
            <w:vAlign w:val="center"/>
          </w:tcPr>
          <w:p w14:paraId="57384C89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hint="eastAsia" w:eastAsia="方正书宋_GBK"/>
                <w:szCs w:val="21"/>
              </w:rPr>
              <w:t>五级产业技术服务体系中乡镇专家服务人数</w:t>
            </w:r>
          </w:p>
        </w:tc>
        <w:tc>
          <w:tcPr>
            <w:tcW w:w="1062" w:type="dxa"/>
            <w:gridSpan w:val="2"/>
            <w:noWrap w:val="0"/>
            <w:vAlign w:val="center"/>
          </w:tcPr>
          <w:p w14:paraId="38B9F080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1958" w:type="dxa"/>
            <w:gridSpan w:val="3"/>
            <w:noWrap w:val="0"/>
            <w:vAlign w:val="center"/>
          </w:tcPr>
          <w:p w14:paraId="6DFF0B53">
            <w:pPr>
              <w:spacing w:line="320" w:lineRule="exact"/>
              <w:jc w:val="center"/>
              <w:rPr>
                <w:rFonts w:hint="eastAsia" w:eastAsia="方正书宋_GBK"/>
                <w:szCs w:val="21"/>
              </w:rPr>
            </w:pPr>
            <w:r>
              <w:rPr>
                <w:rFonts w:hint="eastAsia" w:eastAsia="方正书宋_GBK"/>
                <w:szCs w:val="21"/>
              </w:rPr>
              <w:t>村级产业技术指导员数量</w:t>
            </w:r>
            <w:r>
              <w:rPr>
                <w:rFonts w:hint="eastAsia" w:eastAsia="方正书宋_GBK"/>
                <w:szCs w:val="21"/>
                <w:lang w:eastAsia="zh-CN"/>
              </w:rPr>
              <w:t>（含粮食生产科技专员）</w:t>
            </w:r>
          </w:p>
        </w:tc>
        <w:tc>
          <w:tcPr>
            <w:tcW w:w="1194" w:type="dxa"/>
            <w:gridSpan w:val="3"/>
            <w:noWrap w:val="0"/>
            <w:vAlign w:val="center"/>
          </w:tcPr>
          <w:p w14:paraId="4ED6C9C5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96</w:t>
            </w:r>
          </w:p>
        </w:tc>
      </w:tr>
      <w:tr w14:paraId="50C384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12914" w:type="dxa"/>
            <w:gridSpan w:val="23"/>
            <w:noWrap w:val="0"/>
            <w:vAlign w:val="center"/>
          </w:tcPr>
          <w:p w14:paraId="79207084">
            <w:pPr>
              <w:spacing w:line="32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项目主导产业情况</w:t>
            </w:r>
          </w:p>
        </w:tc>
      </w:tr>
      <w:tr w14:paraId="623D7AE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9" w:type="dxa"/>
            <w:vMerge w:val="restart"/>
            <w:noWrap w:val="0"/>
            <w:vAlign w:val="center"/>
          </w:tcPr>
          <w:p w14:paraId="191DCE45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主导产业名称</w:t>
            </w:r>
          </w:p>
        </w:tc>
        <w:tc>
          <w:tcPr>
            <w:tcW w:w="1226" w:type="dxa"/>
            <w:gridSpan w:val="2"/>
            <w:vMerge w:val="restart"/>
            <w:noWrap w:val="0"/>
            <w:vAlign w:val="center"/>
          </w:tcPr>
          <w:p w14:paraId="6F542D4D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农业科技</w:t>
            </w:r>
          </w:p>
          <w:p w14:paraId="210F46D3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示范主体（个）</w:t>
            </w:r>
          </w:p>
        </w:tc>
        <w:tc>
          <w:tcPr>
            <w:tcW w:w="943" w:type="dxa"/>
            <w:gridSpan w:val="2"/>
            <w:vMerge w:val="restart"/>
            <w:noWrap w:val="0"/>
            <w:vAlign w:val="center"/>
          </w:tcPr>
          <w:p w14:paraId="04ED0DE1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辐射</w:t>
            </w:r>
          </w:p>
          <w:p w14:paraId="21ECFE6F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带动数</w:t>
            </w:r>
          </w:p>
          <w:p w14:paraId="2C1442CD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（个）</w:t>
            </w:r>
          </w:p>
        </w:tc>
        <w:tc>
          <w:tcPr>
            <w:tcW w:w="1291" w:type="dxa"/>
            <w:gridSpan w:val="2"/>
            <w:vMerge w:val="restart"/>
            <w:noWrap w:val="0"/>
            <w:vAlign w:val="center"/>
          </w:tcPr>
          <w:p w14:paraId="5459314E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一对</w:t>
            </w:r>
            <w:r>
              <w:rPr>
                <w:rFonts w:hint="eastAsia" w:eastAsia="方正书宋_GBK"/>
                <w:szCs w:val="21"/>
              </w:rPr>
              <w:t>N</w:t>
            </w:r>
            <w:r>
              <w:rPr>
                <w:rFonts w:eastAsia="方正书宋_GBK"/>
                <w:szCs w:val="21"/>
              </w:rPr>
              <w:t>农技服务人员</w:t>
            </w:r>
          </w:p>
          <w:p w14:paraId="6CD0A12B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（</w:t>
            </w:r>
            <w:r>
              <w:rPr>
                <w:rFonts w:hint="eastAsia" w:eastAsia="方正书宋_GBK"/>
                <w:szCs w:val="21"/>
              </w:rPr>
              <w:t>数量</w:t>
            </w:r>
            <w:r>
              <w:rPr>
                <w:rFonts w:eastAsia="方正书宋_GBK"/>
                <w:szCs w:val="21"/>
              </w:rPr>
              <w:t>）</w:t>
            </w:r>
          </w:p>
        </w:tc>
        <w:tc>
          <w:tcPr>
            <w:tcW w:w="3534" w:type="dxa"/>
            <w:gridSpan w:val="7"/>
            <w:noWrap w:val="0"/>
            <w:vAlign w:val="center"/>
          </w:tcPr>
          <w:p w14:paraId="167E5D15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示范基地</w:t>
            </w:r>
          </w:p>
        </w:tc>
        <w:tc>
          <w:tcPr>
            <w:tcW w:w="1149" w:type="dxa"/>
            <w:gridSpan w:val="2"/>
            <w:vMerge w:val="restart"/>
            <w:noWrap w:val="0"/>
            <w:vAlign w:val="center"/>
          </w:tcPr>
          <w:p w14:paraId="0CEAECD2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主导品种（个）</w:t>
            </w:r>
          </w:p>
        </w:tc>
        <w:tc>
          <w:tcPr>
            <w:tcW w:w="1092" w:type="dxa"/>
            <w:gridSpan w:val="2"/>
            <w:vMerge w:val="restart"/>
            <w:noWrap w:val="0"/>
            <w:vAlign w:val="center"/>
          </w:tcPr>
          <w:p w14:paraId="039573BF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主推技术（项）</w:t>
            </w:r>
          </w:p>
        </w:tc>
        <w:tc>
          <w:tcPr>
            <w:tcW w:w="2660" w:type="dxa"/>
            <w:gridSpan w:val="5"/>
            <w:noWrap w:val="0"/>
            <w:vAlign w:val="center"/>
          </w:tcPr>
          <w:p w14:paraId="541118FD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专家组人员（名）</w:t>
            </w:r>
          </w:p>
        </w:tc>
      </w:tr>
      <w:tr w14:paraId="3DCDEC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9" w:type="dxa"/>
            <w:vMerge w:val="continue"/>
            <w:noWrap w:val="0"/>
            <w:vAlign w:val="center"/>
          </w:tcPr>
          <w:p w14:paraId="551101E9">
            <w:pPr>
              <w:adjustRightInd w:val="0"/>
              <w:snapToGrid w:val="0"/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1226" w:type="dxa"/>
            <w:gridSpan w:val="2"/>
            <w:vMerge w:val="continue"/>
            <w:noWrap w:val="0"/>
            <w:vAlign w:val="center"/>
          </w:tcPr>
          <w:p w14:paraId="36AD6F22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943" w:type="dxa"/>
            <w:gridSpan w:val="2"/>
            <w:vMerge w:val="continue"/>
            <w:noWrap w:val="0"/>
            <w:vAlign w:val="center"/>
          </w:tcPr>
          <w:p w14:paraId="02400F9C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1291" w:type="dxa"/>
            <w:gridSpan w:val="2"/>
            <w:vMerge w:val="continue"/>
            <w:noWrap w:val="0"/>
            <w:vAlign w:val="center"/>
          </w:tcPr>
          <w:p w14:paraId="5C012ECF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728" w:type="dxa"/>
            <w:gridSpan w:val="2"/>
            <w:noWrap w:val="0"/>
            <w:vAlign w:val="center"/>
          </w:tcPr>
          <w:p w14:paraId="212C60FE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个数</w:t>
            </w:r>
          </w:p>
        </w:tc>
        <w:tc>
          <w:tcPr>
            <w:tcW w:w="884" w:type="dxa"/>
            <w:noWrap w:val="0"/>
            <w:vAlign w:val="center"/>
          </w:tcPr>
          <w:p w14:paraId="62A5EA72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品种（个）</w:t>
            </w:r>
          </w:p>
        </w:tc>
        <w:tc>
          <w:tcPr>
            <w:tcW w:w="944" w:type="dxa"/>
            <w:gridSpan w:val="2"/>
            <w:noWrap w:val="0"/>
            <w:vAlign w:val="center"/>
          </w:tcPr>
          <w:p w14:paraId="0E9F87DB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hint="eastAsia" w:eastAsia="方正书宋_GBK"/>
                <w:spacing w:val="-20"/>
                <w:szCs w:val="21"/>
              </w:rPr>
              <w:t>规模</w:t>
            </w:r>
            <w:r>
              <w:rPr>
                <w:rFonts w:eastAsia="方正书宋_GBK"/>
                <w:spacing w:val="-20"/>
                <w:szCs w:val="21"/>
              </w:rPr>
              <w:t>（亩</w:t>
            </w:r>
            <w:r>
              <w:rPr>
                <w:rFonts w:hint="eastAsia" w:eastAsia="方正书宋_GBK"/>
                <w:spacing w:val="-20"/>
                <w:szCs w:val="21"/>
              </w:rPr>
              <w:t>、头、羽等</w:t>
            </w:r>
            <w:r>
              <w:rPr>
                <w:rFonts w:eastAsia="方正书宋_GBK"/>
                <w:spacing w:val="-20"/>
                <w:szCs w:val="21"/>
              </w:rPr>
              <w:t>）</w:t>
            </w:r>
          </w:p>
        </w:tc>
        <w:tc>
          <w:tcPr>
            <w:tcW w:w="978" w:type="dxa"/>
            <w:gridSpan w:val="2"/>
            <w:noWrap w:val="0"/>
            <w:vAlign w:val="center"/>
          </w:tcPr>
          <w:p w14:paraId="1DD99F92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技术（项）</w:t>
            </w:r>
          </w:p>
        </w:tc>
        <w:tc>
          <w:tcPr>
            <w:tcW w:w="1149" w:type="dxa"/>
            <w:gridSpan w:val="2"/>
            <w:vMerge w:val="continue"/>
            <w:noWrap w:val="0"/>
            <w:vAlign w:val="center"/>
          </w:tcPr>
          <w:p w14:paraId="1D94D74E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1092" w:type="dxa"/>
            <w:gridSpan w:val="2"/>
            <w:vMerge w:val="continue"/>
            <w:noWrap w:val="0"/>
            <w:vAlign w:val="center"/>
          </w:tcPr>
          <w:p w14:paraId="40159C1B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7AF4B095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省级及以上</w:t>
            </w:r>
          </w:p>
        </w:tc>
        <w:tc>
          <w:tcPr>
            <w:tcW w:w="727" w:type="dxa"/>
            <w:gridSpan w:val="3"/>
            <w:noWrap w:val="0"/>
            <w:vAlign w:val="center"/>
          </w:tcPr>
          <w:p w14:paraId="6373D230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市级</w:t>
            </w:r>
          </w:p>
        </w:tc>
        <w:tc>
          <w:tcPr>
            <w:tcW w:w="889" w:type="dxa"/>
            <w:noWrap w:val="0"/>
            <w:vAlign w:val="center"/>
          </w:tcPr>
          <w:p w14:paraId="645AE4C3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县、乡级</w:t>
            </w:r>
          </w:p>
        </w:tc>
      </w:tr>
      <w:tr w14:paraId="26452C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9" w:type="dxa"/>
            <w:noWrap w:val="0"/>
            <w:vAlign w:val="center"/>
          </w:tcPr>
          <w:p w14:paraId="5099054F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eastAsia="zh-CN"/>
              </w:rPr>
            </w:pPr>
            <w:r>
              <w:rPr>
                <w:rFonts w:hint="eastAsia" w:eastAsia="方正书宋_GBK"/>
                <w:szCs w:val="21"/>
                <w:lang w:eastAsia="zh-CN"/>
              </w:rPr>
              <w:t>粮食</w:t>
            </w:r>
          </w:p>
        </w:tc>
        <w:tc>
          <w:tcPr>
            <w:tcW w:w="1226" w:type="dxa"/>
            <w:gridSpan w:val="2"/>
            <w:noWrap w:val="0"/>
            <w:vAlign w:val="center"/>
          </w:tcPr>
          <w:p w14:paraId="58F4AD30">
            <w:pPr>
              <w:spacing w:line="320" w:lineRule="exact"/>
              <w:jc w:val="center"/>
              <w:rPr>
                <w:rFonts w:hint="default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20</w:t>
            </w:r>
          </w:p>
        </w:tc>
        <w:tc>
          <w:tcPr>
            <w:tcW w:w="943" w:type="dxa"/>
            <w:gridSpan w:val="2"/>
            <w:noWrap w:val="0"/>
            <w:vAlign w:val="center"/>
          </w:tcPr>
          <w:p w14:paraId="1A357EE3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200</w:t>
            </w:r>
          </w:p>
        </w:tc>
        <w:tc>
          <w:tcPr>
            <w:tcW w:w="1291" w:type="dxa"/>
            <w:gridSpan w:val="2"/>
            <w:noWrap w:val="0"/>
            <w:vAlign w:val="center"/>
          </w:tcPr>
          <w:p w14:paraId="17AF5C6C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60</w:t>
            </w:r>
          </w:p>
        </w:tc>
        <w:tc>
          <w:tcPr>
            <w:tcW w:w="728" w:type="dxa"/>
            <w:gridSpan w:val="2"/>
            <w:noWrap w:val="0"/>
            <w:vAlign w:val="center"/>
          </w:tcPr>
          <w:p w14:paraId="52C3B5F3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</w:t>
            </w:r>
          </w:p>
        </w:tc>
        <w:tc>
          <w:tcPr>
            <w:tcW w:w="884" w:type="dxa"/>
            <w:noWrap w:val="0"/>
            <w:vAlign w:val="center"/>
          </w:tcPr>
          <w:p w14:paraId="291C7415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</w:t>
            </w:r>
          </w:p>
        </w:tc>
        <w:tc>
          <w:tcPr>
            <w:tcW w:w="944" w:type="dxa"/>
            <w:gridSpan w:val="2"/>
            <w:noWrap w:val="0"/>
            <w:vAlign w:val="center"/>
          </w:tcPr>
          <w:p w14:paraId="16465856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300</w:t>
            </w:r>
          </w:p>
        </w:tc>
        <w:tc>
          <w:tcPr>
            <w:tcW w:w="978" w:type="dxa"/>
            <w:gridSpan w:val="2"/>
            <w:noWrap w:val="0"/>
            <w:vAlign w:val="center"/>
          </w:tcPr>
          <w:p w14:paraId="0A4A1706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</w:t>
            </w:r>
          </w:p>
        </w:tc>
        <w:tc>
          <w:tcPr>
            <w:tcW w:w="1149" w:type="dxa"/>
            <w:gridSpan w:val="2"/>
            <w:noWrap w:val="0"/>
            <w:vAlign w:val="center"/>
          </w:tcPr>
          <w:p w14:paraId="5FD293A0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</w:t>
            </w:r>
          </w:p>
        </w:tc>
        <w:tc>
          <w:tcPr>
            <w:tcW w:w="1092" w:type="dxa"/>
            <w:gridSpan w:val="2"/>
            <w:noWrap w:val="0"/>
            <w:vAlign w:val="center"/>
          </w:tcPr>
          <w:p w14:paraId="4547872B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</w:t>
            </w:r>
          </w:p>
        </w:tc>
        <w:tc>
          <w:tcPr>
            <w:tcW w:w="1044" w:type="dxa"/>
            <w:noWrap w:val="0"/>
            <w:vAlign w:val="center"/>
          </w:tcPr>
          <w:p w14:paraId="316B2F63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727" w:type="dxa"/>
            <w:gridSpan w:val="3"/>
            <w:noWrap w:val="0"/>
            <w:vAlign w:val="center"/>
          </w:tcPr>
          <w:p w14:paraId="5080D711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889" w:type="dxa"/>
            <w:noWrap w:val="0"/>
            <w:vAlign w:val="center"/>
          </w:tcPr>
          <w:p w14:paraId="230B4A24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60</w:t>
            </w:r>
          </w:p>
        </w:tc>
      </w:tr>
      <w:tr w14:paraId="1480397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9" w:type="dxa"/>
            <w:noWrap w:val="0"/>
            <w:vAlign w:val="center"/>
          </w:tcPr>
          <w:p w14:paraId="3513BF3B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eastAsia="zh-CN"/>
              </w:rPr>
            </w:pPr>
            <w:r>
              <w:rPr>
                <w:rFonts w:hint="eastAsia" w:eastAsia="方正书宋_GBK"/>
                <w:szCs w:val="21"/>
                <w:lang w:eastAsia="zh-CN"/>
              </w:rPr>
              <w:t>水果</w:t>
            </w:r>
          </w:p>
        </w:tc>
        <w:tc>
          <w:tcPr>
            <w:tcW w:w="1226" w:type="dxa"/>
            <w:gridSpan w:val="2"/>
            <w:noWrap w:val="0"/>
            <w:vAlign w:val="center"/>
          </w:tcPr>
          <w:p w14:paraId="06D907DB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4</w:t>
            </w:r>
          </w:p>
        </w:tc>
        <w:tc>
          <w:tcPr>
            <w:tcW w:w="943" w:type="dxa"/>
            <w:gridSpan w:val="2"/>
            <w:noWrap w:val="0"/>
            <w:vAlign w:val="center"/>
          </w:tcPr>
          <w:p w14:paraId="6D59F4FE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40</w:t>
            </w:r>
          </w:p>
        </w:tc>
        <w:tc>
          <w:tcPr>
            <w:tcW w:w="1291" w:type="dxa"/>
            <w:gridSpan w:val="2"/>
            <w:noWrap w:val="0"/>
            <w:vAlign w:val="center"/>
          </w:tcPr>
          <w:p w14:paraId="782C21C5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12</w:t>
            </w:r>
          </w:p>
        </w:tc>
        <w:tc>
          <w:tcPr>
            <w:tcW w:w="728" w:type="dxa"/>
            <w:gridSpan w:val="2"/>
            <w:noWrap w:val="0"/>
            <w:vAlign w:val="center"/>
          </w:tcPr>
          <w:p w14:paraId="74DAF71D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</w:t>
            </w:r>
          </w:p>
        </w:tc>
        <w:tc>
          <w:tcPr>
            <w:tcW w:w="884" w:type="dxa"/>
            <w:noWrap w:val="0"/>
            <w:vAlign w:val="center"/>
          </w:tcPr>
          <w:p w14:paraId="18C8FA20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</w:t>
            </w:r>
          </w:p>
        </w:tc>
        <w:tc>
          <w:tcPr>
            <w:tcW w:w="944" w:type="dxa"/>
            <w:gridSpan w:val="2"/>
            <w:noWrap w:val="0"/>
            <w:vAlign w:val="center"/>
          </w:tcPr>
          <w:p w14:paraId="17685F6D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200</w:t>
            </w:r>
          </w:p>
        </w:tc>
        <w:tc>
          <w:tcPr>
            <w:tcW w:w="978" w:type="dxa"/>
            <w:gridSpan w:val="2"/>
            <w:noWrap w:val="0"/>
            <w:vAlign w:val="center"/>
          </w:tcPr>
          <w:p w14:paraId="3D29FDCB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</w:t>
            </w:r>
          </w:p>
        </w:tc>
        <w:tc>
          <w:tcPr>
            <w:tcW w:w="1149" w:type="dxa"/>
            <w:gridSpan w:val="2"/>
            <w:noWrap w:val="0"/>
            <w:vAlign w:val="center"/>
          </w:tcPr>
          <w:p w14:paraId="5149D91F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</w:t>
            </w:r>
          </w:p>
        </w:tc>
        <w:tc>
          <w:tcPr>
            <w:tcW w:w="1092" w:type="dxa"/>
            <w:gridSpan w:val="2"/>
            <w:noWrap w:val="0"/>
            <w:vAlign w:val="center"/>
          </w:tcPr>
          <w:p w14:paraId="6D9938B8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</w:t>
            </w:r>
          </w:p>
        </w:tc>
        <w:tc>
          <w:tcPr>
            <w:tcW w:w="1044" w:type="dxa"/>
            <w:noWrap w:val="0"/>
            <w:vAlign w:val="center"/>
          </w:tcPr>
          <w:p w14:paraId="2B1C0272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11</w:t>
            </w:r>
          </w:p>
        </w:tc>
        <w:tc>
          <w:tcPr>
            <w:tcW w:w="727" w:type="dxa"/>
            <w:gridSpan w:val="3"/>
            <w:noWrap w:val="0"/>
            <w:vAlign w:val="center"/>
          </w:tcPr>
          <w:p w14:paraId="2223184A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889" w:type="dxa"/>
            <w:noWrap w:val="0"/>
            <w:vAlign w:val="center"/>
          </w:tcPr>
          <w:p w14:paraId="5B4750EF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12</w:t>
            </w:r>
          </w:p>
        </w:tc>
      </w:tr>
      <w:tr w14:paraId="205C034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9" w:type="dxa"/>
            <w:noWrap w:val="0"/>
            <w:vAlign w:val="center"/>
          </w:tcPr>
          <w:p w14:paraId="0E25E0CB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eastAsia="zh-CN"/>
              </w:rPr>
            </w:pPr>
            <w:r>
              <w:rPr>
                <w:rFonts w:hint="eastAsia" w:eastAsia="方正书宋_GBK"/>
                <w:szCs w:val="21"/>
                <w:lang w:eastAsia="zh-CN"/>
              </w:rPr>
              <w:t>蔬菜</w:t>
            </w:r>
          </w:p>
        </w:tc>
        <w:tc>
          <w:tcPr>
            <w:tcW w:w="1226" w:type="dxa"/>
            <w:gridSpan w:val="2"/>
            <w:noWrap w:val="0"/>
            <w:vAlign w:val="center"/>
          </w:tcPr>
          <w:p w14:paraId="73D01F75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4</w:t>
            </w:r>
          </w:p>
        </w:tc>
        <w:tc>
          <w:tcPr>
            <w:tcW w:w="943" w:type="dxa"/>
            <w:gridSpan w:val="2"/>
            <w:noWrap w:val="0"/>
            <w:vAlign w:val="center"/>
          </w:tcPr>
          <w:p w14:paraId="6576F3FF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40</w:t>
            </w:r>
          </w:p>
        </w:tc>
        <w:tc>
          <w:tcPr>
            <w:tcW w:w="1291" w:type="dxa"/>
            <w:gridSpan w:val="2"/>
            <w:noWrap w:val="0"/>
            <w:vAlign w:val="center"/>
          </w:tcPr>
          <w:p w14:paraId="0FBA9FBB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12</w:t>
            </w:r>
          </w:p>
        </w:tc>
        <w:tc>
          <w:tcPr>
            <w:tcW w:w="728" w:type="dxa"/>
            <w:gridSpan w:val="2"/>
            <w:noWrap w:val="0"/>
            <w:vAlign w:val="center"/>
          </w:tcPr>
          <w:p w14:paraId="1880DFA2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</w:t>
            </w:r>
          </w:p>
        </w:tc>
        <w:tc>
          <w:tcPr>
            <w:tcW w:w="884" w:type="dxa"/>
            <w:noWrap w:val="0"/>
            <w:vAlign w:val="center"/>
          </w:tcPr>
          <w:p w14:paraId="7A0A1CC4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5</w:t>
            </w:r>
          </w:p>
        </w:tc>
        <w:tc>
          <w:tcPr>
            <w:tcW w:w="944" w:type="dxa"/>
            <w:gridSpan w:val="2"/>
            <w:noWrap w:val="0"/>
            <w:vAlign w:val="center"/>
          </w:tcPr>
          <w:p w14:paraId="1C196766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200</w:t>
            </w:r>
          </w:p>
        </w:tc>
        <w:tc>
          <w:tcPr>
            <w:tcW w:w="978" w:type="dxa"/>
            <w:gridSpan w:val="2"/>
            <w:noWrap w:val="0"/>
            <w:vAlign w:val="center"/>
          </w:tcPr>
          <w:p w14:paraId="6B860C7B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5</w:t>
            </w:r>
          </w:p>
        </w:tc>
        <w:tc>
          <w:tcPr>
            <w:tcW w:w="1149" w:type="dxa"/>
            <w:gridSpan w:val="2"/>
            <w:noWrap w:val="0"/>
            <w:vAlign w:val="center"/>
          </w:tcPr>
          <w:p w14:paraId="609E49E7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1092" w:type="dxa"/>
            <w:gridSpan w:val="2"/>
            <w:noWrap w:val="0"/>
            <w:vAlign w:val="center"/>
          </w:tcPr>
          <w:p w14:paraId="6C1025DA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76915EDC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6</w:t>
            </w:r>
          </w:p>
        </w:tc>
        <w:tc>
          <w:tcPr>
            <w:tcW w:w="727" w:type="dxa"/>
            <w:gridSpan w:val="3"/>
            <w:noWrap w:val="0"/>
            <w:vAlign w:val="center"/>
          </w:tcPr>
          <w:p w14:paraId="1FC02349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4</w:t>
            </w:r>
          </w:p>
        </w:tc>
        <w:tc>
          <w:tcPr>
            <w:tcW w:w="889" w:type="dxa"/>
            <w:noWrap w:val="0"/>
            <w:vAlign w:val="center"/>
          </w:tcPr>
          <w:p w14:paraId="0BA0AFDF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12</w:t>
            </w:r>
          </w:p>
        </w:tc>
      </w:tr>
      <w:tr w14:paraId="049035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9" w:type="dxa"/>
            <w:noWrap w:val="0"/>
            <w:vAlign w:val="center"/>
          </w:tcPr>
          <w:p w14:paraId="4EB14D87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eastAsia="zh-CN"/>
              </w:rPr>
            </w:pPr>
            <w:r>
              <w:rPr>
                <w:rFonts w:hint="eastAsia" w:eastAsia="方正书宋_GBK"/>
                <w:szCs w:val="21"/>
                <w:lang w:eastAsia="zh-CN"/>
              </w:rPr>
              <w:t>畜牧</w:t>
            </w:r>
          </w:p>
        </w:tc>
        <w:tc>
          <w:tcPr>
            <w:tcW w:w="1226" w:type="dxa"/>
            <w:gridSpan w:val="2"/>
            <w:noWrap w:val="0"/>
            <w:vAlign w:val="center"/>
          </w:tcPr>
          <w:p w14:paraId="11CA0AEF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4</w:t>
            </w:r>
          </w:p>
        </w:tc>
        <w:tc>
          <w:tcPr>
            <w:tcW w:w="943" w:type="dxa"/>
            <w:gridSpan w:val="2"/>
            <w:noWrap w:val="0"/>
            <w:vAlign w:val="center"/>
          </w:tcPr>
          <w:p w14:paraId="1991692C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40</w:t>
            </w:r>
          </w:p>
        </w:tc>
        <w:tc>
          <w:tcPr>
            <w:tcW w:w="1291" w:type="dxa"/>
            <w:gridSpan w:val="2"/>
            <w:noWrap w:val="0"/>
            <w:vAlign w:val="center"/>
          </w:tcPr>
          <w:p w14:paraId="58CEF961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12</w:t>
            </w:r>
          </w:p>
        </w:tc>
        <w:tc>
          <w:tcPr>
            <w:tcW w:w="728" w:type="dxa"/>
            <w:gridSpan w:val="2"/>
            <w:noWrap w:val="0"/>
            <w:vAlign w:val="center"/>
          </w:tcPr>
          <w:p w14:paraId="5CA22F20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 w14:paraId="17817DE2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944" w:type="dxa"/>
            <w:gridSpan w:val="2"/>
            <w:noWrap w:val="0"/>
            <w:vAlign w:val="center"/>
          </w:tcPr>
          <w:p w14:paraId="2A5C2D33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978" w:type="dxa"/>
            <w:gridSpan w:val="2"/>
            <w:noWrap w:val="0"/>
            <w:vAlign w:val="center"/>
          </w:tcPr>
          <w:p w14:paraId="0558A922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  <w:p w14:paraId="5700FD9C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1149" w:type="dxa"/>
            <w:gridSpan w:val="2"/>
            <w:noWrap w:val="0"/>
            <w:vAlign w:val="center"/>
          </w:tcPr>
          <w:p w14:paraId="48882F21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2</w:t>
            </w:r>
          </w:p>
        </w:tc>
        <w:tc>
          <w:tcPr>
            <w:tcW w:w="1092" w:type="dxa"/>
            <w:gridSpan w:val="2"/>
            <w:noWrap w:val="0"/>
            <w:vAlign w:val="center"/>
          </w:tcPr>
          <w:p w14:paraId="1EE3B0C2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</w:t>
            </w:r>
          </w:p>
        </w:tc>
        <w:tc>
          <w:tcPr>
            <w:tcW w:w="1044" w:type="dxa"/>
            <w:noWrap w:val="0"/>
            <w:vAlign w:val="center"/>
          </w:tcPr>
          <w:p w14:paraId="00871120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727" w:type="dxa"/>
            <w:gridSpan w:val="3"/>
            <w:noWrap w:val="0"/>
            <w:vAlign w:val="center"/>
          </w:tcPr>
          <w:p w14:paraId="51B1C0E6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889" w:type="dxa"/>
            <w:noWrap w:val="0"/>
            <w:vAlign w:val="center"/>
          </w:tcPr>
          <w:p w14:paraId="6FEC2E8E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12</w:t>
            </w:r>
          </w:p>
        </w:tc>
      </w:tr>
      <w:tr w14:paraId="60A0E2C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9" w:type="dxa"/>
            <w:noWrap w:val="0"/>
            <w:vAlign w:val="center"/>
          </w:tcPr>
          <w:p w14:paraId="1D2C2755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eastAsia="方正书宋_GBK"/>
                <w:szCs w:val="21"/>
              </w:rPr>
              <w:t>合计</w:t>
            </w:r>
          </w:p>
        </w:tc>
        <w:tc>
          <w:tcPr>
            <w:tcW w:w="1226" w:type="dxa"/>
            <w:gridSpan w:val="2"/>
            <w:noWrap w:val="0"/>
            <w:vAlign w:val="center"/>
          </w:tcPr>
          <w:p w14:paraId="1484565F">
            <w:pPr>
              <w:spacing w:line="320" w:lineRule="exact"/>
              <w:jc w:val="center"/>
              <w:rPr>
                <w:rFonts w:hint="default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32</w:t>
            </w:r>
          </w:p>
        </w:tc>
        <w:tc>
          <w:tcPr>
            <w:tcW w:w="943" w:type="dxa"/>
            <w:gridSpan w:val="2"/>
            <w:noWrap w:val="0"/>
            <w:vAlign w:val="center"/>
          </w:tcPr>
          <w:p w14:paraId="1DFCF4F8">
            <w:pPr>
              <w:spacing w:line="320" w:lineRule="exact"/>
              <w:jc w:val="center"/>
              <w:rPr>
                <w:rFonts w:hint="default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320</w:t>
            </w:r>
          </w:p>
        </w:tc>
        <w:tc>
          <w:tcPr>
            <w:tcW w:w="1291" w:type="dxa"/>
            <w:gridSpan w:val="2"/>
            <w:noWrap w:val="0"/>
            <w:vAlign w:val="center"/>
          </w:tcPr>
          <w:p w14:paraId="78CD3D16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96</w:t>
            </w:r>
          </w:p>
        </w:tc>
        <w:tc>
          <w:tcPr>
            <w:tcW w:w="728" w:type="dxa"/>
            <w:gridSpan w:val="2"/>
            <w:noWrap w:val="0"/>
            <w:vAlign w:val="center"/>
          </w:tcPr>
          <w:p w14:paraId="20AEB2DE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3</w:t>
            </w:r>
          </w:p>
        </w:tc>
        <w:tc>
          <w:tcPr>
            <w:tcW w:w="884" w:type="dxa"/>
            <w:noWrap w:val="0"/>
            <w:vAlign w:val="center"/>
          </w:tcPr>
          <w:p w14:paraId="7D7A62FF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</w:p>
        </w:tc>
        <w:tc>
          <w:tcPr>
            <w:tcW w:w="944" w:type="dxa"/>
            <w:gridSpan w:val="2"/>
            <w:noWrap w:val="0"/>
            <w:vAlign w:val="center"/>
          </w:tcPr>
          <w:p w14:paraId="7CCD4F84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700</w:t>
            </w:r>
          </w:p>
        </w:tc>
        <w:tc>
          <w:tcPr>
            <w:tcW w:w="978" w:type="dxa"/>
            <w:gridSpan w:val="2"/>
            <w:noWrap w:val="0"/>
            <w:vAlign w:val="center"/>
          </w:tcPr>
          <w:p w14:paraId="3C4B2F7B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9</w:t>
            </w:r>
          </w:p>
        </w:tc>
        <w:tc>
          <w:tcPr>
            <w:tcW w:w="1149" w:type="dxa"/>
            <w:gridSpan w:val="2"/>
            <w:noWrap w:val="0"/>
            <w:vAlign w:val="center"/>
          </w:tcPr>
          <w:p w14:paraId="4CA7AC8B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6</w:t>
            </w:r>
          </w:p>
        </w:tc>
        <w:tc>
          <w:tcPr>
            <w:tcW w:w="1092" w:type="dxa"/>
            <w:gridSpan w:val="2"/>
            <w:noWrap w:val="0"/>
            <w:vAlign w:val="center"/>
          </w:tcPr>
          <w:p w14:paraId="48F4EA76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5</w:t>
            </w:r>
          </w:p>
        </w:tc>
        <w:tc>
          <w:tcPr>
            <w:tcW w:w="1044" w:type="dxa"/>
            <w:noWrap w:val="0"/>
            <w:vAlign w:val="center"/>
          </w:tcPr>
          <w:p w14:paraId="77CAAD08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17</w:t>
            </w:r>
          </w:p>
        </w:tc>
        <w:tc>
          <w:tcPr>
            <w:tcW w:w="727" w:type="dxa"/>
            <w:gridSpan w:val="3"/>
            <w:noWrap w:val="0"/>
            <w:vAlign w:val="center"/>
          </w:tcPr>
          <w:p w14:paraId="1CAE3602">
            <w:pPr>
              <w:spacing w:line="320" w:lineRule="exact"/>
              <w:jc w:val="center"/>
              <w:rPr>
                <w:rFonts w:hint="eastAsia" w:eastAsia="方正书宋_GBK"/>
                <w:szCs w:val="21"/>
                <w:lang w:val="en-US" w:eastAsia="zh-CN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4</w:t>
            </w:r>
          </w:p>
        </w:tc>
        <w:tc>
          <w:tcPr>
            <w:tcW w:w="889" w:type="dxa"/>
            <w:noWrap w:val="0"/>
            <w:vAlign w:val="center"/>
          </w:tcPr>
          <w:p w14:paraId="385C9E81">
            <w:pPr>
              <w:spacing w:line="320" w:lineRule="exact"/>
              <w:jc w:val="center"/>
              <w:rPr>
                <w:rFonts w:eastAsia="方正书宋_GBK"/>
                <w:szCs w:val="21"/>
              </w:rPr>
            </w:pPr>
            <w:r>
              <w:rPr>
                <w:rFonts w:hint="eastAsia" w:eastAsia="方正书宋_GBK"/>
                <w:szCs w:val="21"/>
                <w:lang w:val="en-US" w:eastAsia="zh-CN"/>
              </w:rPr>
              <w:t>96</w:t>
            </w:r>
          </w:p>
        </w:tc>
      </w:tr>
    </w:tbl>
    <w:p w14:paraId="3F7DC696">
      <w:pPr>
        <w:spacing w:line="360" w:lineRule="exact"/>
        <w:rPr>
          <w:rFonts w:eastAsia="方正书宋_GBK"/>
          <w:sz w:val="24"/>
        </w:rPr>
        <w:sectPr>
          <w:pgSz w:w="16838" w:h="11906" w:orient="landscape"/>
          <w:pgMar w:top="1531" w:right="2098" w:bottom="1531" w:left="1984" w:header="850" w:footer="992" w:gutter="0"/>
          <w:pgNumType w:fmt="decimal"/>
          <w:cols w:space="720" w:num="1"/>
          <w:rtlGutter w:val="0"/>
          <w:docGrid w:type="linesAndChars" w:linePitch="327" w:charSpace="1168"/>
        </w:sectPr>
      </w:pPr>
      <w:r>
        <w:rPr>
          <w:rFonts w:eastAsia="方正书宋_GBK"/>
        </w:rPr>
        <w:t>备注：</w:t>
      </w:r>
      <w:r>
        <w:rPr>
          <w:rFonts w:eastAsia="方正书宋_GBK"/>
          <w:sz w:val="24"/>
        </w:rPr>
        <w:t>人口、耕地面积、产值等数据为</w:t>
      </w:r>
      <w:r>
        <w:rPr>
          <w:rFonts w:eastAsia="方正书宋_GBK"/>
          <w:color w:val="auto"/>
          <w:sz w:val="24"/>
        </w:rPr>
        <w:t>20</w:t>
      </w:r>
      <w:r>
        <w:rPr>
          <w:rFonts w:hint="eastAsia" w:eastAsia="方正书宋_GBK"/>
          <w:color w:val="auto"/>
          <w:sz w:val="24"/>
          <w:lang w:val="en-US" w:eastAsia="zh-CN"/>
        </w:rPr>
        <w:t>25</w:t>
      </w:r>
      <w:r>
        <w:rPr>
          <w:rFonts w:eastAsia="方正书宋_GBK"/>
          <w:color w:val="auto"/>
          <w:sz w:val="24"/>
        </w:rPr>
        <w:t>年底</w:t>
      </w:r>
      <w:r>
        <w:rPr>
          <w:rFonts w:eastAsia="方正书宋_GBK"/>
          <w:sz w:val="24"/>
        </w:rPr>
        <w:t>统计数据。</w:t>
      </w:r>
    </w:p>
    <w:tbl>
      <w:tblPr>
        <w:tblStyle w:val="5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7"/>
        <w:gridCol w:w="8276"/>
      </w:tblGrid>
      <w:tr w14:paraId="5A3DA6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5" w:hRule="atLeast"/>
          <w:jc w:val="center"/>
        </w:trPr>
        <w:tc>
          <w:tcPr>
            <w:tcW w:w="647" w:type="dxa"/>
            <w:tcBorders>
              <w:bottom w:val="single" w:color="000000" w:sz="4" w:space="0"/>
            </w:tcBorders>
            <w:noWrap w:val="0"/>
            <w:vAlign w:val="center"/>
          </w:tcPr>
          <w:p w14:paraId="34E31EA9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实</w:t>
            </w:r>
          </w:p>
          <w:p w14:paraId="7FCA147F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施</w:t>
            </w:r>
          </w:p>
          <w:p w14:paraId="3567328D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方</w:t>
            </w:r>
          </w:p>
          <w:p w14:paraId="143C9E9F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案</w:t>
            </w:r>
          </w:p>
          <w:p w14:paraId="1744E0D1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8276" w:type="dxa"/>
            <w:tcBorders>
              <w:bottom w:val="single" w:color="000000" w:sz="4" w:space="0"/>
            </w:tcBorders>
            <w:noWrap w:val="0"/>
            <w:vAlign w:val="top"/>
          </w:tcPr>
          <w:p w14:paraId="1249430B"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内容包括：</w:t>
            </w:r>
          </w:p>
          <w:p w14:paraId="605CF1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562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  <w:lang w:eastAsia="zh-CN"/>
              </w:rPr>
              <w:t>一、</w:t>
            </w: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基本情况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晋州市位于河北平原腹地，是大唐名相魏征的故里。现辖9镇1乡、1个省级经济开发区，224个行政村，总面积6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02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平方公里,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常住人口51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万。土地肥沃，物产丰富，粮油生产稳定发展，培育壮大了肉、果、菜三大特色产业。先后被命名为“国家商品粮基地”“中国鸭梨之乡”“中国特色农产品优势区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（鸭梨）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”等荣誉称号，“晋州鸭梨”“晋州葡萄”“晋州山楂”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“晋州黄冠梨”“晋州甜玉米”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获得国家地理标志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证明商标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。</w:t>
            </w:r>
          </w:p>
          <w:p w14:paraId="18161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(一)水果业 </w:t>
            </w:r>
          </w:p>
          <w:p w14:paraId="1E24B6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spacing w:line="5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水果种植面积22万亩，总产量59.54万吨，产值14.63亿元，主要有鸭梨、黄冠梨、巨峰葡萄等品种。</w:t>
            </w:r>
          </w:p>
          <w:p w14:paraId="53C85A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spacing w:line="5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其中，梨树种植面积16.08万亩，产量45.54万吨，产值8.83亿元；葡萄种植面积3.5万亩，产量8.2万吨，产值3.71亿元；其它水果种植面积2.42万亩，产量5.8万吨，产值2.09亿元。全市梨果年出口5万吨，创汇5000多万美元，出口位居河北省第一，全产业产值50多亿元。</w:t>
            </w:r>
          </w:p>
          <w:p w14:paraId="04A9BC5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(二)畜牧业 </w:t>
            </w:r>
          </w:p>
          <w:p w14:paraId="76313B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>1.畜牧生产</w:t>
            </w:r>
          </w:p>
          <w:p w14:paraId="2C5B47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全市有养殖场1844家，规模养殖场613家，按品种分生猪养殖场469家、养鸡场526家、肉牛养殖场165家、奶牛养殖场5家、养羊场189家、其他养殖场490家。</w:t>
            </w:r>
          </w:p>
          <w:p w14:paraId="5B2881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全市肉、蛋、奶总产量分别达到 5.95万吨、7.34万吨、 1.87万吨。全年生猪存栏15.52万头，生猪出栏46.39万头，蛋鸡存栏 612.18万只；奶牛存栏0.51万头；肉牛出栏 1.52万头，羊存栏 1.63万头，出栏 1.29万头。</w:t>
            </w:r>
          </w:p>
          <w:p w14:paraId="71B79A0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/>
              </w:rPr>
              <w:t>2.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  <w:lang w:eastAsia="zh-CN"/>
              </w:rPr>
              <w:t>动物防疫检疫</w:t>
            </w:r>
          </w:p>
          <w:p w14:paraId="06410B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spacing w:line="5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/>
              </w:rPr>
              <w:t>设有县乡村三级动物防疫队伍和防疫支撑体系。县级兽医实验室（省级动物疫情测报站）支撑了疫病监测的兽医防疫体系，强化重大动物免疫、疫病疫情监测和非洲猪瘟防控，确保应免畜禽群体免疫密度100%，对出栏畜禽应检尽检，病死畜禽无害化处理全覆盖。</w:t>
            </w:r>
          </w:p>
          <w:p w14:paraId="7E219F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  (三)粮油业</w:t>
            </w:r>
          </w:p>
          <w:p w14:paraId="21FCD6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spacing w:line="5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粮食种植面积、总产量“双稳定”，2025年粮食播种面积80.62万亩，总产量7.13亿斤，其中小麦播种37万亩，玉米36.7万亩，种植豆类作物3.95万亩，谷子0.8万亩，红薯1.96万亩，高粱0.2万亩。</w:t>
            </w:r>
          </w:p>
          <w:p w14:paraId="172E4AE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  (四)蔬菜业  </w:t>
            </w:r>
          </w:p>
          <w:p w14:paraId="2ECF51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2025年蔬菜及食用菌播种面积达到7.5万亩，蔬菜产量达到39.3万吨。总产值3.6亿元。现有蔬菜生产大棚490多个，蔬菜生产标准园3个（晋州市中兴农业合作社、晋州金农龙农业种植服务专业合作社、晋州绿满园农业服务专业合作社）。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32"/>
                <w:szCs w:val="32"/>
                <w:highlight w:val="none"/>
                <w:lang w:val="en-US" w:eastAsia="zh-CN"/>
              </w:rPr>
              <w:t xml:space="preserve"> </w:t>
            </w:r>
          </w:p>
          <w:p w14:paraId="7B42543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>(五)农机业</w:t>
            </w:r>
          </w:p>
          <w:p w14:paraId="3F0C3B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全市主要农作物耕种收的综合机械化水平已达到了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100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%，农机总动力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55万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千瓦。其中小麦联合收割机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998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台,玉米收获机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1005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台,青饲料收获机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75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台,拖拉机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2420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台(大中型拖拉机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2356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台),与拖拉机配套农具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7780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台套(秸杆粉碎还田机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1680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台,播种机械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4537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台,旋耕机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1443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台，深松机12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台）。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 </w:t>
            </w:r>
          </w:p>
          <w:p w14:paraId="7A3E021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N/>
              <w:bidi w:val="0"/>
              <w:spacing w:line="560" w:lineRule="exact"/>
              <w:ind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>(六)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</w:rPr>
              <w:t xml:space="preserve">农业产业化、合作社、农场 </w:t>
            </w:r>
          </w:p>
          <w:p w14:paraId="42256BC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>1.龙头企业</w:t>
            </w:r>
          </w:p>
          <w:p w14:paraId="502C3FC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国家级农业产业化重点龙头企业3家，河北省长城果品股份有限公司、河北双鸽食品股份有限公司、河北鹏达食品有限公司。省级农业产业化重点龙头企业15家，河北群强农产品加工有限公司、河北汉荣包装容器有限公司、河北悦泰农产品加工有限公司、石家庄金太阳生物有机肥有限公司、石家庄丛青果蔬种植有限公司、晋州市昊天生态养猪场、河北天洋农业开发有限公司、河北衡大饮品有限公司、河北建良园林绿化工程有限公司、石家庄双鸽圣蕴食品有限公司、河北雄瀚农产品股份有限公司、河北沃尔旺食品饮料有限公司、晋州市奥丰农业服务有限公司。石家庄市级龙头企业31家。</w:t>
            </w:r>
          </w:p>
          <w:p w14:paraId="063B0E7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280" w:firstLineChars="1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 2.农民专业合作社</w:t>
            </w:r>
          </w:p>
          <w:p w14:paraId="0480D9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农民专业合作社298家（国家级示范社1家、省级4家、市级9家）。</w:t>
            </w:r>
          </w:p>
          <w:p w14:paraId="6A30E78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国家级：金农龙农业种植专业合作社。省级：德农种植专业合作社、绿丰果品种植专业合作社、丰业种植专业合作社、务农农机作业专业合作社。</w:t>
            </w:r>
          </w:p>
          <w:p w14:paraId="69672F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3.家庭农场</w:t>
            </w:r>
          </w:p>
          <w:p w14:paraId="440789F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家庭农场301家（省级示范家庭农场11家、市级25家）。省级：怡嘉乐家庭农场、林绿源家庭农场、九丰家庭农场、晨丰家庭农场、舜垚家庭农场、祥发家庭农场、琛然家庭农场、农润家庭农场、凯农家庭农场、仁禾家庭农场、雄丰瀚家庭农场。</w:t>
            </w:r>
          </w:p>
          <w:p w14:paraId="194EC97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(七)农业科技  </w:t>
            </w:r>
          </w:p>
          <w:p w14:paraId="6AB4410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省级农业创新驿站5个：金农龙（蔬菜）、兴华（小麦农机装备）、长城（梨）、丰业合作社（食用菌）、河北雄翰（梨果深加工）。市级农业创新驿站6个。</w:t>
            </w:r>
          </w:p>
          <w:p w14:paraId="79AA9B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（八）农业国际贸易高质量发展基地</w:t>
            </w:r>
          </w:p>
          <w:p w14:paraId="6F293CC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农业国际贸易高质量发展基地10个。其中国家级农业国际贸易高质量发展基地3个：河北省长城果品股份有限公司、河北雄瀚农产品股份公司、河北天洋农业开发有限公司。省级农业国际贸易高质量发展基地7个：河北鹏达食品有限公司、河北鲜鲜农产股份公司、河北悦泰农产品加工有限公司、晋州市圣季农产品有限公司、河北群强农产品有限公司、晋州市特盖泽贸易有限公司、晋州市怡露商贸有限公司。</w:t>
            </w:r>
          </w:p>
          <w:p w14:paraId="43E3DFF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2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  <w:lang w:val="en-US" w:eastAsia="zh-CN"/>
              </w:rPr>
              <w:t>二、年度目标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：</w:t>
            </w:r>
          </w:p>
          <w:p w14:paraId="26C6893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 w:firstLine="560" w:firstLineChars="200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实施2026年基层农技推广项目，一是加快先进适用技术推广应用，遴选推介主导品种5个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</w:rPr>
              <w:t>、主推技术5项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  <w:lang w:eastAsia="zh-CN"/>
              </w:rPr>
              <w:t>；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</w:rPr>
              <w:t>二是实施农技推广能力提升行动，组织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  <w:lang w:val="en-US" w:eastAsia="zh-CN"/>
              </w:rPr>
              <w:t>全市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2"/>
                <w:sz w:val="28"/>
                <w:szCs w:val="28"/>
                <w:lang w:val="en-US" w:eastAsia="zh-CN"/>
              </w:rPr>
              <w:t>40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</w:rPr>
              <w:t>名以上农技人员开展知识更新培训。三是实施特聘计划，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  <w:lang w:val="en-US" w:eastAsia="zh-CN"/>
              </w:rPr>
              <w:t>全市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</w:rPr>
              <w:t>遴选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  <w:lang w:val="en-US" w:eastAsia="zh-CN"/>
              </w:rPr>
              <w:t>5名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</w:rPr>
              <w:t>特聘农技员，为基层农技推广队伍注入新活力。四是打造科技示范样板，重点建设3个以上的农业科技示范场所。</w:t>
            </w:r>
          </w:p>
          <w:p w14:paraId="322BA9E1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left="2" w:right="95" w:firstLine="554" w:firstLineChars="200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pacing w:val="-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2"/>
                <w:sz w:val="28"/>
                <w:szCs w:val="28"/>
                <w:lang w:eastAsia="zh-CN"/>
              </w:rPr>
              <w:t>三、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-2"/>
                <w:sz w:val="28"/>
                <w:szCs w:val="28"/>
              </w:rPr>
              <w:t>实施内容：</w:t>
            </w:r>
          </w:p>
          <w:p w14:paraId="1BBE674F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beforeAutospacing="0" w:after="0" w:afterLines="0" w:afterAutospacing="0" w:line="560" w:lineRule="exact"/>
              <w:ind w:left="6" w:right="82" w:firstLine="544" w:firstLineChars="200"/>
              <w:textAlignment w:val="baseline"/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8"/>
                <w:szCs w:val="28"/>
              </w:rPr>
              <w:t>（一）科技支撑</w:t>
            </w:r>
            <w:r>
              <w:rPr>
                <w:rFonts w:hint="eastAsia" w:ascii="仿宋_GB2312" w:hAnsi="仿宋_GB2312" w:eastAsia="仿宋_GB2312" w:cs="仿宋_GB2312"/>
                <w:spacing w:val="-4"/>
                <w:sz w:val="28"/>
                <w:szCs w:val="28"/>
                <w:lang w:eastAsia="zh-CN"/>
              </w:rPr>
              <w:t>粮油等作物大面积单产提升</w:t>
            </w:r>
            <w:r>
              <w:rPr>
                <w:rFonts w:hint="eastAsia" w:ascii="仿宋_GB2312" w:hAnsi="仿宋_GB2312" w:eastAsia="仿宋_GB2312" w:cs="仿宋_GB2312"/>
                <w:spacing w:val="-4"/>
                <w:sz w:val="28"/>
                <w:szCs w:val="28"/>
              </w:rPr>
              <w:t>。开展科技支撑大豆、玉米、小麦、油菜等主要粮油作物大面积单产提升行动，依托农业科技示范基地（场所），全覆盖开展综合技术方案的示范展示，提高先进适宜技术到位率，加快科技成果转化应用。着力支撑生物育种产业化应用扩面提速，推进优良品种、配套技术、管理措施集成应用，推广绿色高效轻简化的技术模式。</w:t>
            </w:r>
          </w:p>
          <w:p w14:paraId="5600E3EE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beforeAutospacing="0" w:after="0" w:afterLines="0" w:line="560" w:lineRule="exact"/>
              <w:ind w:firstLine="548" w:firstLineChars="200"/>
              <w:textAlignment w:val="baseline"/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（二）强化先进农业技术试验示范。围绕增强粮食等重要农产品供给保障能力，遴选发布5个主导品种、5项主推技术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组建主推技术指导团队，依托示范基地（场所）、科技示范主体，加快先进适宜技术入户到田。建设3个示范场所（不包含生物育种产业化示范场所），每个场所须明确示范内容、技术负责人和观摩计划，使之成为主导品种和主推技术的展示窗口、农技人员实训的田间课堂、农民学习技术的直观平台。</w:t>
            </w:r>
          </w:p>
          <w:p w14:paraId="20DC56D6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beforeAutospacing="0" w:after="0" w:afterLines="0" w:afterAutospacing="0" w:line="560" w:lineRule="exact"/>
              <w:ind w:left="2" w:right="99" w:firstLine="548" w:firstLineChars="200"/>
              <w:textAlignment w:val="baseline"/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三）深入开展农技推广服务。构建以公益性农技推广体系为主体，科研院校、科技服务企业、社会化服务组织等半公益、经营性机构相互协同的服务体系。推动农技推广服务重心下移、力量下沉。全面巩固“县有服务团、乡有服务中心（站）”的组织架构，健全“1+N”包村联户机制，发挥农技人员协调联络作用，联合产业技术体系、科研院校专家、科技特派员、新型农业经营主体技术骨干、乡土专家等，开展动植物疫病虫害监测防治、农产品质量检验检测、农业防灾减灾等技术服务。引导和支持企业开展科技服务，推广代耕代种、代管代收、全程托管等服务模式，为农户提供生产管护、存储加工等全程科技服务。</w:t>
            </w:r>
          </w:p>
          <w:p w14:paraId="6EE53034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beforeAutospacing="0" w:after="0" w:afterLines="0" w:afterAutospacing="0" w:line="560" w:lineRule="exact"/>
              <w:ind w:left="3" w:right="99" w:firstLine="548" w:firstLineChars="200"/>
              <w:textAlignment w:val="baseline"/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（四）完善农技推广特聘计划。结合实际需求实施农技推广特聘计划，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  <w:lang w:val="en-US" w:eastAsia="zh-CN"/>
              </w:rPr>
              <w:t>全市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</w:rPr>
              <w:t>遴选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  <w:lang w:val="en-US" w:eastAsia="zh-CN"/>
              </w:rPr>
              <w:t>5名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</w:rPr>
              <w:t>特聘农技员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每人补助标准为4万元。规范特聘农技员管理，细化聘用条件程序、服务协议、管理考核和报酬支付方式，优化评价激励机制，畅通“土专家”“田秀才”以及返乡入乡创业人员、大学生、退役军人等参与农技服务的渠道，补充建设扎根基层、专兼结合、充满活力的农技推广服务队伍。</w:t>
            </w:r>
          </w:p>
          <w:p w14:paraId="31427395">
            <w:pPr>
              <w:pStyle w:val="3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beforeAutospacing="0" w:after="0" w:afterLines="0" w:line="560" w:lineRule="exact"/>
              <w:ind w:right="103" w:rightChars="0" w:firstLine="520" w:firstLineChars="200"/>
              <w:textAlignment w:val="baseline"/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</w:rPr>
              <w:t>五）提升农技推广队伍能力。完善分工协作、分级分类培训机制，组织对</w:t>
            </w:r>
            <w:r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  <w:lang w:val="en-US" w:eastAsia="zh-CN"/>
              </w:rPr>
              <w:t>40</w:t>
            </w:r>
            <w:r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</w:rPr>
              <w:t>名以上农技人员开展知识更新培训。其中</w:t>
            </w:r>
            <w:r>
              <w:rPr>
                <w:rFonts w:hint="eastAsia" w:ascii="仿宋_GB2312" w:hAnsi="仿宋_GB2312" w:eastAsia="仿宋_GB2312" w:cs="仿宋_GB2312"/>
                <w:spacing w:val="-7"/>
                <w:sz w:val="28"/>
                <w:szCs w:val="28"/>
              </w:rPr>
              <w:t>遴选</w:t>
            </w:r>
            <w:r>
              <w:rPr>
                <w:rFonts w:hint="eastAsia" w:ascii="仿宋_GB2312" w:hAnsi="仿宋_GB2312" w:eastAsia="仿宋_GB2312" w:cs="仿宋_GB2312"/>
                <w:spacing w:val="-7"/>
                <w:sz w:val="28"/>
                <w:szCs w:val="28"/>
                <w:lang w:val="en-US" w:eastAsia="zh-CN"/>
              </w:rPr>
              <w:t>30</w:t>
            </w:r>
            <w:r>
              <w:rPr>
                <w:rFonts w:hint="eastAsia" w:ascii="仿宋_GB2312" w:hAnsi="仿宋_GB2312" w:eastAsia="仿宋_GB2312" w:cs="仿宋_GB2312"/>
                <w:spacing w:val="-7"/>
                <w:sz w:val="28"/>
                <w:szCs w:val="28"/>
              </w:rPr>
              <w:t>名以上农技推广骨干</w:t>
            </w:r>
            <w:r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</w:rPr>
              <w:t>，统一组织不少于5天的脱产培训。</w:t>
            </w:r>
            <w:r>
              <w:rPr>
                <w:rFonts w:hint="eastAsia" w:ascii="仿宋_GB2312" w:hAnsi="仿宋_GB2312" w:eastAsia="仿宋_GB2312" w:cs="仿宋_GB2312"/>
                <w:spacing w:val="-7"/>
                <w:sz w:val="28"/>
                <w:szCs w:val="28"/>
              </w:rPr>
              <w:t>根据地区产业</w:t>
            </w:r>
            <w:r>
              <w:rPr>
                <w:rFonts w:hint="eastAsia" w:ascii="仿宋_GB2312" w:hAnsi="仿宋_GB2312" w:eastAsia="仿宋_GB2312" w:cs="仿宋_GB2312"/>
                <w:spacing w:val="-8"/>
                <w:sz w:val="28"/>
                <w:szCs w:val="28"/>
              </w:rPr>
              <w:t>发展实际，结合大面</w:t>
            </w:r>
            <w:r>
              <w:rPr>
                <w:rFonts w:hint="eastAsia" w:ascii="仿宋_GB2312" w:hAnsi="仿宋_GB2312" w:eastAsia="仿宋_GB2312" w:cs="仿宋_GB2312"/>
                <w:spacing w:val="-7"/>
                <w:sz w:val="28"/>
                <w:szCs w:val="28"/>
              </w:rPr>
              <w:t>积单产提升工作要求，分产业、分层次开展不</w:t>
            </w:r>
            <w:r>
              <w:rPr>
                <w:rFonts w:hint="eastAsia" w:ascii="仿宋_GB2312" w:hAnsi="仿宋_GB2312" w:eastAsia="仿宋_GB2312" w:cs="仿宋_GB2312"/>
                <w:spacing w:val="-8"/>
                <w:sz w:val="28"/>
                <w:szCs w:val="28"/>
              </w:rPr>
              <w:t>少于5天的农技员知</w:t>
            </w:r>
            <w:r>
              <w:rPr>
                <w:rFonts w:hint="eastAsia" w:ascii="仿宋_GB2312" w:hAnsi="仿宋_GB2312" w:eastAsia="仿宋_GB2312" w:cs="仿宋_GB2312"/>
                <w:spacing w:val="-4"/>
                <w:sz w:val="28"/>
                <w:szCs w:val="28"/>
              </w:rPr>
              <w:t>识更新培训，其中实训课程不少于2天。</w:t>
            </w:r>
            <w:r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</w:rPr>
              <w:t>健全培训基地管理制度，对培训基地实行动态调整机制，优化培训师资和课程设置。支持农技人员通过脱产进修、在职研修等方式提升学历层次。支持有条件地区创新方式，优化农技推广队伍学历结构。</w:t>
            </w:r>
          </w:p>
          <w:p w14:paraId="221FA458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left="4" w:right="89" w:firstLine="552" w:firstLineChars="200"/>
              <w:textAlignment w:val="baseline"/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  <w:lang w:val="en-US" w:eastAsia="zh-CN"/>
              </w:rPr>
              <w:t>（六）推进生物育种产业化应用。建立示范场所，针对转基因玉米，将抗虫耐除草剂品种与密植、水肥一体化等高产栽培技术结合，加强技术观摩培训，发挥引领带动作用。针对转基因大豆，将耐除草剂品种与种子包衣、精量播种等技术结合，提高农户认可度。统筹资金推进转基因玉米大豆产业化常规化种植，充分发挥其减损增产、提质增效的技术优势。</w:t>
            </w:r>
          </w:p>
          <w:p w14:paraId="04BA9C28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left="6" w:right="85" w:firstLine="508" w:firstLineChars="200"/>
              <w:textAlignment w:val="baseline"/>
              <w:rPr>
                <w:rFonts w:hint="eastAsia" w:ascii="仿宋_GB2312" w:hAnsi="仿宋_GB2312" w:eastAsia="仿宋_GB2312" w:cs="仿宋_GB2312"/>
                <w:spacing w:val="-1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13"/>
                <w:sz w:val="28"/>
                <w:szCs w:val="28"/>
              </w:rPr>
              <w:t>（</w:t>
            </w:r>
            <w:r>
              <w:rPr>
                <w:rFonts w:hint="eastAsia" w:ascii="仿宋_GB2312" w:hAnsi="仿宋_GB2312" w:eastAsia="仿宋_GB2312" w:cs="仿宋_GB2312"/>
                <w:spacing w:val="-13"/>
                <w:sz w:val="28"/>
                <w:szCs w:val="28"/>
                <w:lang w:val="en-US" w:eastAsia="zh-CN"/>
              </w:rPr>
              <w:t>七</w:t>
            </w:r>
            <w:r>
              <w:rPr>
                <w:rFonts w:hint="eastAsia" w:ascii="仿宋_GB2312" w:hAnsi="仿宋_GB2312" w:eastAsia="仿宋_GB2312" w:cs="仿宋_GB2312"/>
                <w:spacing w:val="-13"/>
                <w:sz w:val="28"/>
                <w:szCs w:val="28"/>
              </w:rPr>
              <w:t>）强化农技推广信息化服务。支持各级推广机构应用抖音、快手、微信视频号等短视频平台，培育一批农技微视频创作者，加强在线技术推广服务。积极鼓励和支持农技人员利用短视频、直播、线上问答等新媒体手段，开展政策宣传、技术普及和应急指导，提升服务效率。普及中国农技推广信息平台和中国农技推广APP使用。加强农技人员信息技能培训，提升利用大数据、物联网等现代信息技术服务生产的能力。</w:t>
            </w:r>
          </w:p>
          <w:p w14:paraId="77DDAEC9">
            <w:pPr>
              <w:adjustRightInd w:val="0"/>
              <w:snapToGrid w:val="0"/>
              <w:spacing w:line="560" w:lineRule="exact"/>
              <w:ind w:firstLine="554" w:firstLineChars="200"/>
              <w:rPr>
                <w:rFonts w:hint="eastAsia" w:ascii="仿宋_GB2312" w:hAnsi="仿宋_GB2312" w:eastAsia="仿宋_GB2312" w:cs="仿宋_GB2312"/>
                <w:b/>
                <w:bCs/>
                <w:color w:val="auto"/>
                <w:spacing w:val="-2"/>
                <w:kern w:val="2"/>
                <w:sz w:val="28"/>
                <w:szCs w:val="28"/>
                <w:lang w:val="en-US" w:eastAsia="en-US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pacing w:val="-2"/>
                <w:kern w:val="2"/>
                <w:sz w:val="28"/>
                <w:szCs w:val="28"/>
                <w:lang w:val="en-US" w:eastAsia="zh-CN"/>
              </w:rPr>
              <w:t>四、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pacing w:val="-2"/>
                <w:kern w:val="2"/>
                <w:sz w:val="28"/>
                <w:szCs w:val="28"/>
                <w:lang w:val="en-US" w:eastAsia="en-US"/>
              </w:rPr>
              <w:t>进度安排：</w:t>
            </w:r>
          </w:p>
          <w:p w14:paraId="63636472">
            <w:pPr>
              <w:keepNext w:val="0"/>
              <w:keepLines w:val="0"/>
              <w:pageBreakBefore w:val="0"/>
              <w:widowControl w:val="0"/>
              <w:shd w:val="clear" w:color="auto" w:fill="FFFFFF"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left="0" w:leftChars="0" w:right="0" w:rightChars="0" w:firstLine="548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（一）组织筹备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zh-CN" w:eastAsia="en-US"/>
              </w:rPr>
              <w:t>阶段（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zh-CN" w:eastAsia="en-US"/>
              </w:rPr>
              <w:t>月）。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调研实施意愿，做好项目实施前期准备工作。</w:t>
            </w:r>
          </w:p>
          <w:p w14:paraId="7F5D65CF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adjustRightInd w:val="0"/>
              <w:snapToGrid w:val="0"/>
              <w:spacing w:before="0" w:beforeLines="0" w:after="0" w:afterLines="0" w:line="560" w:lineRule="exact"/>
              <w:ind w:right="0" w:rightChars="0" w:firstLine="548" w:firstLineChars="200"/>
              <w:jc w:val="both"/>
              <w:outlineLvl w:val="9"/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（二）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zh-CN" w:eastAsia="en-US"/>
              </w:rPr>
              <w:t>全面实施阶段（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zh-CN" w:eastAsia="en-US"/>
              </w:rPr>
              <w:t>月—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zh-CN" w:eastAsia="en-US"/>
              </w:rPr>
              <w:t>月）。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制定项目实施方案并报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市科教科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备案。采取有效措施，推动项目落实。</w:t>
            </w:r>
          </w:p>
          <w:p w14:paraId="6C4AD947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adjustRightInd w:val="0"/>
              <w:snapToGrid w:val="0"/>
              <w:spacing w:before="0" w:beforeLines="0" w:after="0" w:afterLines="0" w:line="560" w:lineRule="exact"/>
              <w:ind w:right="0" w:rightChars="0" w:firstLine="548" w:firstLineChars="200"/>
              <w:jc w:val="both"/>
              <w:outlineLvl w:val="9"/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（三）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总结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zh-CN" w:eastAsia="en-US"/>
              </w:rPr>
              <w:t>考评阶段（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zh-CN" w:eastAsia="en-US"/>
              </w:rPr>
              <w:t>月—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zh-CN"/>
              </w:rPr>
              <w:t>12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zh-CN" w:eastAsia="en-US"/>
              </w:rPr>
              <w:t>）。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kern w:val="2"/>
                <w:sz w:val="28"/>
                <w:szCs w:val="28"/>
                <w:lang w:val="en-US" w:eastAsia="en-US"/>
              </w:rPr>
              <w:t>对项目实施进行认真总结，梳理先进典型和经验做法，广泛开展宣传推介。</w:t>
            </w:r>
          </w:p>
          <w:p w14:paraId="10C958FC">
            <w:pPr>
              <w:adjustRightInd w:val="0"/>
              <w:snapToGrid w:val="0"/>
              <w:spacing w:line="560" w:lineRule="exact"/>
              <w:ind w:firstLine="554" w:firstLineChars="200"/>
              <w:rPr>
                <w:rFonts w:hint="eastAsia" w:ascii="仿宋_GB2312" w:hAnsi="仿宋_GB2312" w:eastAsia="仿宋_GB2312" w:cs="仿宋_GB2312"/>
                <w:b/>
                <w:bCs/>
                <w:color w:val="auto"/>
                <w:spacing w:val="-2"/>
                <w:kern w:val="2"/>
                <w:sz w:val="28"/>
                <w:szCs w:val="28"/>
                <w:lang w:val="en-US" w:eastAsia="en-US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pacing w:val="-2"/>
                <w:kern w:val="2"/>
                <w:sz w:val="28"/>
                <w:szCs w:val="28"/>
                <w:lang w:val="en-US" w:eastAsia="zh-CN"/>
              </w:rPr>
              <w:t>五、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pacing w:val="-2"/>
                <w:kern w:val="2"/>
                <w:sz w:val="28"/>
                <w:szCs w:val="28"/>
                <w:lang w:val="en-US" w:eastAsia="en-US"/>
              </w:rPr>
              <w:t>经费使用安排：</w:t>
            </w:r>
          </w:p>
          <w:p w14:paraId="5D8690AC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right="4" w:firstLine="544" w:firstLineChars="200"/>
              <w:textAlignment w:val="baseline"/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8"/>
                <w:szCs w:val="28"/>
              </w:rPr>
              <w:t>（一）农业技术人员能力建设补助。对农技人员参加国家、省级、市县级组织的各层次的农技知识更新培训、人才培养、学历提升、远程教育等发生的学习、培训等各环节产生的费用进行补助，对农业农村部门围绕产业发展组织农技人员培训发生的资料印制、专家授课、线上培训服务、场地租赁、宣传、档案整理、信息化手段等各环节进行补助。</w:t>
            </w:r>
          </w:p>
          <w:p w14:paraId="355575FA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firstLine="520" w:firstLineChars="200"/>
              <w:textAlignment w:val="baseline"/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</w:rPr>
              <w:t>（二）示范场所试验示范推广补助。重点对各类试验示范场所建设过程中发生的聘请专家、土地租赁（试验示范展示）、技术指导进行补助，对新品种、新技术、新设备引进集成、人工劳务（示范推广）、组织推广展示、现场观摩、入户培训、田间指导等发生的费用，新品种新技术新试验示范所需的农（兽）药、肥料、饲料、种子、种畜禽、水产苗种、试验设施装备等物资投入补助，每个场所补助标准为3万元。</w:t>
            </w:r>
          </w:p>
          <w:p w14:paraId="21D2718F">
            <w:pPr>
              <w:pStyle w:val="3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right="4" w:rightChars="0" w:firstLine="532" w:firstLineChars="200"/>
              <w:textAlignment w:val="baseline"/>
              <w:rPr>
                <w:rFonts w:hint="eastAsia" w:ascii="仿宋_GB2312" w:hAnsi="仿宋_GB2312" w:eastAsia="仿宋_GB2312" w:cs="仿宋_GB2312"/>
                <w:spacing w:val="-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7"/>
                <w:sz w:val="28"/>
                <w:szCs w:val="28"/>
              </w:rPr>
              <w:t>（三）农业科技示范主体补助。主要用于对农业科技示范主体开展新品种、新技术试验示范所需的农（兽）药、肥料、饲料、种子、种畜禽、水产苗种、试验设施装备等物资投入补助。对农业科技示范主体遴选要少而精，每个农业科技示范主体补助资金不低于0.1万元。</w:t>
            </w:r>
          </w:p>
          <w:p w14:paraId="1FC76D06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left="6" w:firstLine="548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（四）农技推广服务信息化建设补助。对科技平台、微信公众号、手机APP等科技服务信息化平台建设、维护等发生的相关费用进行补助；对创新农技推广服务手段，为基层农技推广机构、推广专家、农技人员和农业科技示范主体在线学习、互动交流等服务过程中发生的通讯费用进行补助，每名农技员补助标准不超过0.1万元。按照公开公平公正原则科学遴选项目技术指导员，将服务效率、包联主体满意度等作为依据，不得将非技术人员纳入补助范围。</w:t>
            </w:r>
          </w:p>
          <w:p w14:paraId="2AE48E7B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left="6" w:firstLine="544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spacing w:val="-4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8"/>
                <w:szCs w:val="28"/>
              </w:rPr>
              <w:t>（五）农技推广科技服务补助。对组织实施特聘计划、各类示范场所、农业科技小院建设</w:t>
            </w:r>
            <w:r>
              <w:rPr>
                <w:rFonts w:hint="eastAsia" w:ascii="仿宋_GB2312" w:hAnsi="仿宋_GB2312" w:eastAsia="仿宋_GB2312" w:cs="仿宋_GB2312"/>
                <w:spacing w:val="-4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pacing w:val="-4"/>
                <w:sz w:val="28"/>
                <w:szCs w:val="28"/>
                <w:lang w:val="en-US" w:eastAsia="zh-CN"/>
              </w:rPr>
              <w:t>农业创新驿站</w:t>
            </w:r>
            <w:r>
              <w:rPr>
                <w:rFonts w:hint="eastAsia" w:ascii="仿宋_GB2312" w:hAnsi="仿宋_GB2312" w:eastAsia="仿宋_GB2312" w:cs="仿宋_GB2312"/>
                <w:spacing w:val="-4"/>
                <w:sz w:val="28"/>
                <w:szCs w:val="28"/>
              </w:rPr>
              <w:t>和发布主推技术等工作中发生的遴选组织、人员聘用、技术指导、示范展示、绩效管理等进行补助；对探索建立多元化推广机制过程中发生的服务外包、科技指导、人员培训、条件能力提升、信息化平台打造等费用进行补助；对省市县乡专家、农技人员、开展进村入户农技指导、培训培育、咨询服务和政策宣传等过程中发生的相关费用进行补助。对于各类专家和技术人员技术服务和绩效奖励发放，结合本地实际，以服务天数、服务人次、服务面积、包联主体满意度等为主要考量，科学制定补助和奖励标准，充分调动各级各类科技人员投身农技推广事业的积极性。</w:t>
            </w:r>
          </w:p>
          <w:p w14:paraId="68A25AE4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left="6" w:firstLine="544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8"/>
                <w:szCs w:val="28"/>
                <w:lang w:eastAsia="zh-CN"/>
              </w:rPr>
              <w:t>（六）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  <w:lang w:eastAsia="zh-CN"/>
              </w:rPr>
              <w:t>在完成清单任务的前提下，结合实际，在农技推广项目建设内容范围内统筹安排使用，提高资金使用效益。邀请第三方开展年度专项审计，形成监管合力。</w:t>
            </w:r>
          </w:p>
          <w:p w14:paraId="11A989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 w:val="0"/>
              <w:snapToGrid w:val="0"/>
              <w:spacing w:before="0" w:beforeLines="0" w:after="0" w:afterLines="0" w:line="480" w:lineRule="exact"/>
              <w:ind w:right="0" w:rightChars="0"/>
              <w:jc w:val="both"/>
              <w:outlineLvl w:val="9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</w:pPr>
          </w:p>
          <w:p w14:paraId="7BD285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bidi w:val="0"/>
              <w:adjustRightInd w:val="0"/>
              <w:snapToGrid w:val="0"/>
              <w:spacing w:before="0" w:beforeLines="0" w:after="0" w:afterLines="0" w:line="480" w:lineRule="exact"/>
              <w:ind w:left="0" w:leftChars="0" w:right="0" w:rightChars="0" w:firstLine="643" w:firstLineChars="200"/>
              <w:jc w:val="both"/>
              <w:outlineLvl w:val="9"/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2026年晋州市农技推广补助项目资金计划明细表</w:t>
            </w:r>
          </w:p>
          <w:tbl>
            <w:tblPr>
              <w:tblStyle w:val="5"/>
              <w:tblW w:w="0" w:type="auto"/>
              <w:tblInd w:w="-209" w:type="dxa"/>
              <w:tblBorders>
                <w:top w:val="single" w:color="000000" w:sz="2" w:space="0"/>
                <w:left w:val="single" w:color="000000" w:sz="2" w:space="0"/>
                <w:bottom w:val="single" w:color="000000" w:sz="2" w:space="0"/>
                <w:right w:val="single" w:color="000000" w:sz="2" w:space="0"/>
                <w:insideH w:val="single" w:color="000000" w:sz="2" w:space="0"/>
                <w:insideV w:val="single" w:color="000000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315"/>
              <w:gridCol w:w="4560"/>
              <w:gridCol w:w="1864"/>
            </w:tblGrid>
            <w:tr w14:paraId="54FE6403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83" w:hRule="atLeast"/>
              </w:trPr>
              <w:tc>
                <w:tcPr>
                  <w:tcW w:w="2315" w:type="dxa"/>
                  <w:noWrap w:val="0"/>
                  <w:vAlign w:val="center"/>
                </w:tcPr>
                <w:p w14:paraId="06DF872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项目</w:t>
                  </w:r>
                </w:p>
              </w:tc>
              <w:tc>
                <w:tcPr>
                  <w:tcW w:w="4560" w:type="dxa"/>
                  <w:noWrap w:val="0"/>
                  <w:vAlign w:val="center"/>
                </w:tcPr>
                <w:p w14:paraId="6C412BD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0" w:firstLineChars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具体内容</w:t>
                  </w:r>
                </w:p>
              </w:tc>
              <w:tc>
                <w:tcPr>
                  <w:tcW w:w="1864" w:type="dxa"/>
                  <w:noWrap w:val="0"/>
                  <w:vAlign w:val="center"/>
                </w:tcPr>
                <w:p w14:paraId="1C8DAA1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资金(万元)</w:t>
                  </w:r>
                </w:p>
              </w:tc>
            </w:tr>
            <w:tr w14:paraId="26262EB5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820" w:hRule="atLeast"/>
              </w:trPr>
              <w:tc>
                <w:tcPr>
                  <w:tcW w:w="2315" w:type="dxa"/>
                  <w:noWrap w:val="0"/>
                  <w:vAlign w:val="center"/>
                </w:tcPr>
                <w:p w14:paraId="30FE66F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农业技术人员能力建设补助</w:t>
                  </w:r>
                </w:p>
              </w:tc>
              <w:tc>
                <w:tcPr>
                  <w:tcW w:w="4560" w:type="dxa"/>
                  <w:noWrap w:val="0"/>
                  <w:vAlign w:val="center"/>
                </w:tcPr>
                <w:p w14:paraId="5F1FD72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highlight w:val="none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highlight w:val="none"/>
                    </w:rPr>
                    <w:t>农技知识更新培训、人才培养、学历提升、远程教育等。</w:t>
                  </w:r>
                </w:p>
              </w:tc>
              <w:tc>
                <w:tcPr>
                  <w:tcW w:w="1864" w:type="dxa"/>
                  <w:noWrap w:val="0"/>
                  <w:vAlign w:val="center"/>
                </w:tcPr>
                <w:p w14:paraId="4073048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val="en-US" w:eastAsia="zh-CN"/>
                    </w:rPr>
                    <w:t>14</w:t>
                  </w:r>
                </w:p>
              </w:tc>
            </w:tr>
            <w:tr w14:paraId="1214D3AE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00" w:hRule="atLeast"/>
              </w:trPr>
              <w:tc>
                <w:tcPr>
                  <w:tcW w:w="2315" w:type="dxa"/>
                  <w:noWrap w:val="0"/>
                  <w:vAlign w:val="center"/>
                </w:tcPr>
                <w:p w14:paraId="64AB1AD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示范基地建设补助</w:t>
                  </w:r>
                </w:p>
              </w:tc>
              <w:tc>
                <w:tcPr>
                  <w:tcW w:w="4560" w:type="dxa"/>
                  <w:noWrap w:val="0"/>
                  <w:vAlign w:val="center"/>
                </w:tcPr>
                <w:p w14:paraId="4AEEA48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示范基地试验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  <w:t>、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示范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  <w:t>、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推广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  <w:t>、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展示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  <w:t>主导品种、主推技术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补助</w:t>
                  </w:r>
                </w:p>
              </w:tc>
              <w:tc>
                <w:tcPr>
                  <w:tcW w:w="1864" w:type="dxa"/>
                  <w:noWrap w:val="0"/>
                  <w:vAlign w:val="center"/>
                </w:tcPr>
                <w:p w14:paraId="742E252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val="en-US" w:eastAsia="zh-CN"/>
                    </w:rPr>
                    <w:t>9</w:t>
                  </w:r>
                </w:p>
              </w:tc>
            </w:tr>
            <w:tr w14:paraId="48E2265E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120" w:hRule="atLeast"/>
              </w:trPr>
              <w:tc>
                <w:tcPr>
                  <w:tcW w:w="2315" w:type="dxa"/>
                  <w:noWrap w:val="0"/>
                  <w:vAlign w:val="center"/>
                </w:tcPr>
                <w:p w14:paraId="751F295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农业科技示范主体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  <w:t>补助</w:t>
                  </w:r>
                </w:p>
              </w:tc>
              <w:tc>
                <w:tcPr>
                  <w:tcW w:w="4560" w:type="dxa"/>
                  <w:noWrap w:val="0"/>
                  <w:vAlign w:val="center"/>
                </w:tcPr>
                <w:p w14:paraId="097FC40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  <w:t>主导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品种、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  <w:t>主推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技术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  <w:t>等新品种、新技术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试验示范所需的农（兽）药、肥料、饲料、种子、种畜禽、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highlight w:val="none"/>
                    </w:rPr>
                    <w:t>试验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设施装备等物资投入进行补助。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  <w:t>主导品种、主推技术补助。</w:t>
                  </w:r>
                </w:p>
              </w:tc>
              <w:tc>
                <w:tcPr>
                  <w:tcW w:w="1864" w:type="dxa"/>
                  <w:noWrap w:val="0"/>
                  <w:vAlign w:val="center"/>
                </w:tcPr>
                <w:p w14:paraId="4A643A3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auto"/>
                      <w:sz w:val="28"/>
                      <w:szCs w:val="28"/>
                      <w:lang w:val="en-US" w:eastAsia="zh-CN"/>
                    </w:rPr>
                    <w:t>32</w:t>
                  </w:r>
                </w:p>
              </w:tc>
            </w:tr>
            <w:tr w14:paraId="2307D46C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96" w:hRule="atLeast"/>
              </w:trPr>
              <w:tc>
                <w:tcPr>
                  <w:tcW w:w="2315" w:type="dxa"/>
                  <w:vMerge w:val="restart"/>
                  <w:noWrap w:val="0"/>
                  <w:vAlign w:val="center"/>
                </w:tcPr>
                <w:p w14:paraId="1351BDC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农技推广服务信息化建设补助</w:t>
                  </w:r>
                </w:p>
              </w:tc>
              <w:tc>
                <w:tcPr>
                  <w:tcW w:w="4560" w:type="dxa"/>
                  <w:noWrap w:val="0"/>
                  <w:vAlign w:val="center"/>
                </w:tcPr>
                <w:p w14:paraId="35B15A6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  <w:t>技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术指导员通讯补贴</w:t>
                  </w:r>
                </w:p>
              </w:tc>
              <w:tc>
                <w:tcPr>
                  <w:tcW w:w="1864" w:type="dxa"/>
                  <w:noWrap w:val="0"/>
                  <w:vAlign w:val="center"/>
                </w:tcPr>
                <w:p w14:paraId="0ACCD18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val="en-US" w:eastAsia="zh-CN"/>
                    </w:rPr>
                    <w:t>7</w:t>
                  </w:r>
                </w:p>
              </w:tc>
            </w:tr>
            <w:tr w14:paraId="5E380A53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150" w:hRule="atLeast"/>
              </w:trPr>
              <w:tc>
                <w:tcPr>
                  <w:tcW w:w="2315" w:type="dxa"/>
                  <w:vMerge w:val="continue"/>
                  <w:noWrap w:val="0"/>
                  <w:vAlign w:val="center"/>
                </w:tcPr>
                <w:p w14:paraId="1BDB608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</w:p>
              </w:tc>
              <w:tc>
                <w:tcPr>
                  <w:tcW w:w="4560" w:type="dxa"/>
                  <w:noWrap w:val="0"/>
                  <w:vAlign w:val="center"/>
                </w:tcPr>
                <w:p w14:paraId="602A9EBA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highlight w:val="yellow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对科技平台、微信公众号、手机APP等科技服务信息化平台建设、维护等发生的相关费用进行补助；在线学习、互动交流、声像制作、技术普及等科技服务过程中发生的费用进行补助</w:t>
                  </w: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  <w:t>。</w:t>
                  </w:r>
                </w:p>
              </w:tc>
              <w:tc>
                <w:tcPr>
                  <w:tcW w:w="1864" w:type="dxa"/>
                  <w:noWrap w:val="0"/>
                  <w:vAlign w:val="center"/>
                </w:tcPr>
                <w:p w14:paraId="7E9510F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highlight w:val="yellow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highlight w:val="none"/>
                      <w:lang w:val="en-US" w:eastAsia="zh-CN"/>
                    </w:rPr>
                    <w:t>5</w:t>
                  </w:r>
                </w:p>
              </w:tc>
            </w:tr>
            <w:tr w14:paraId="08B580A3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7" w:hRule="atLeast"/>
              </w:trPr>
              <w:tc>
                <w:tcPr>
                  <w:tcW w:w="2315" w:type="dxa"/>
                  <w:vMerge w:val="restart"/>
                  <w:noWrap w:val="0"/>
                  <w:vAlign w:val="center"/>
                </w:tcPr>
                <w:p w14:paraId="0553692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农技推广科技服务补助</w:t>
                  </w:r>
                </w:p>
              </w:tc>
              <w:tc>
                <w:tcPr>
                  <w:tcW w:w="4560" w:type="dxa"/>
                  <w:noWrap w:val="0"/>
                  <w:vAlign w:val="center"/>
                </w:tcPr>
                <w:p w14:paraId="7EF1E51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highlight w:val="yellow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highlight w:val="none"/>
                    </w:rPr>
                    <w:t>特聘农技员计划</w:t>
                  </w:r>
                </w:p>
              </w:tc>
              <w:tc>
                <w:tcPr>
                  <w:tcW w:w="1864" w:type="dxa"/>
                  <w:noWrap w:val="0"/>
                  <w:vAlign w:val="center"/>
                </w:tcPr>
                <w:p w14:paraId="1ECAEAB9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default" w:ascii="仿宋_GB2312" w:hAnsi="仿宋_GB2312" w:eastAsia="仿宋_GB2312" w:cs="仿宋_GB2312"/>
                      <w:sz w:val="28"/>
                      <w:szCs w:val="28"/>
                      <w:highlight w:val="yellow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highlight w:val="none"/>
                      <w:lang w:val="en-US" w:eastAsia="zh-CN"/>
                    </w:rPr>
                    <w:t>20</w:t>
                  </w:r>
                </w:p>
              </w:tc>
            </w:tr>
            <w:tr w14:paraId="372F679D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165" w:hRule="atLeast"/>
              </w:trPr>
              <w:tc>
                <w:tcPr>
                  <w:tcW w:w="2315" w:type="dxa"/>
                  <w:vMerge w:val="continue"/>
                  <w:noWrap w:val="0"/>
                  <w:vAlign w:val="center"/>
                </w:tcPr>
                <w:p w14:paraId="49F4F5C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</w:p>
              </w:tc>
              <w:tc>
                <w:tcPr>
                  <w:tcW w:w="4560" w:type="dxa"/>
                  <w:noWrap w:val="0"/>
                  <w:vAlign w:val="center"/>
                </w:tcPr>
                <w:p w14:paraId="133046C5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right="0" w:rightChars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4"/>
                      <w:sz w:val="28"/>
                      <w:szCs w:val="28"/>
                    </w:rPr>
                    <w:t>对组织实施特聘计划、各类示范场所、农业科技小院建设</w:t>
                  </w:r>
                  <w:r>
                    <w:rPr>
                      <w:rFonts w:hint="eastAsia" w:ascii="仿宋_GB2312" w:hAnsi="仿宋_GB2312" w:eastAsia="仿宋_GB2312" w:cs="仿宋_GB2312"/>
                      <w:spacing w:val="-4"/>
                      <w:sz w:val="28"/>
                      <w:szCs w:val="28"/>
                      <w:lang w:eastAsia="zh-CN"/>
                    </w:rPr>
                    <w:t>、</w:t>
                  </w:r>
                  <w:r>
                    <w:rPr>
                      <w:rFonts w:hint="eastAsia" w:ascii="仿宋_GB2312" w:hAnsi="仿宋_GB2312" w:eastAsia="仿宋_GB2312" w:cs="仿宋_GB2312"/>
                      <w:spacing w:val="-4"/>
                      <w:sz w:val="28"/>
                      <w:szCs w:val="28"/>
                      <w:lang w:val="en-US" w:eastAsia="zh-CN"/>
                    </w:rPr>
                    <w:t>农业创新驿站</w:t>
                  </w:r>
                  <w:r>
                    <w:rPr>
                      <w:rFonts w:hint="eastAsia" w:ascii="仿宋_GB2312" w:hAnsi="仿宋_GB2312" w:eastAsia="仿宋_GB2312" w:cs="仿宋_GB2312"/>
                      <w:spacing w:val="-4"/>
                      <w:sz w:val="28"/>
                      <w:szCs w:val="28"/>
                    </w:rPr>
                    <w:t>和发布主推技术等工作中发生的遴选组织、人员聘用、技术指导、示范展示、绩效管理等进行补助</w:t>
                  </w:r>
                </w:p>
              </w:tc>
              <w:tc>
                <w:tcPr>
                  <w:tcW w:w="1864" w:type="dxa"/>
                  <w:noWrap w:val="0"/>
                  <w:vAlign w:val="center"/>
                </w:tcPr>
                <w:p w14:paraId="62BA802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val="en-US" w:eastAsia="zh-CN"/>
                    </w:rPr>
                    <w:t>1</w:t>
                  </w:r>
                </w:p>
                <w:p w14:paraId="726557A9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val="en-US" w:eastAsia="zh-CN"/>
                    </w:rPr>
                  </w:pPr>
                </w:p>
              </w:tc>
            </w:tr>
            <w:tr w14:paraId="1A6F5917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07" w:hRule="atLeast"/>
              </w:trPr>
              <w:tc>
                <w:tcPr>
                  <w:tcW w:w="2315" w:type="dxa"/>
                  <w:noWrap w:val="0"/>
                  <w:vAlign w:val="center"/>
                </w:tcPr>
                <w:p w14:paraId="37F65D9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</w:rPr>
                    <w:t>合计</w:t>
                  </w:r>
                </w:p>
              </w:tc>
              <w:tc>
                <w:tcPr>
                  <w:tcW w:w="4560" w:type="dxa"/>
                  <w:noWrap w:val="0"/>
                  <w:vAlign w:val="center"/>
                </w:tcPr>
                <w:p w14:paraId="44419A3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eastAsia="zh-CN"/>
                    </w:rPr>
                  </w:pPr>
                </w:p>
              </w:tc>
              <w:tc>
                <w:tcPr>
                  <w:tcW w:w="1864" w:type="dxa"/>
                  <w:noWrap w:val="0"/>
                  <w:vAlign w:val="center"/>
                </w:tcPr>
                <w:p w14:paraId="2F73F8D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 w:val="0"/>
                    <w:snapToGrid w:val="0"/>
                    <w:spacing w:before="0" w:beforeLines="0" w:after="0" w:afterLines="0" w:line="400" w:lineRule="exact"/>
                    <w:ind w:left="0" w:leftChars="0" w:right="0" w:rightChars="0" w:firstLine="560" w:firstLineChars="200"/>
                    <w:jc w:val="both"/>
                    <w:textAlignment w:val="auto"/>
                    <w:outlineLvl w:val="9"/>
                    <w:rPr>
                      <w:rFonts w:hint="default" w:ascii="仿宋_GB2312" w:hAnsi="仿宋_GB2312" w:eastAsia="仿宋_GB2312" w:cs="仿宋_GB2312"/>
                      <w:sz w:val="28"/>
                      <w:szCs w:val="28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8"/>
                      <w:szCs w:val="28"/>
                      <w:lang w:val="en-US" w:eastAsia="zh-CN"/>
                    </w:rPr>
                    <w:t>88</w:t>
                  </w:r>
                </w:p>
              </w:tc>
            </w:tr>
          </w:tbl>
          <w:p w14:paraId="594AA4E2">
            <w:pPr>
              <w:pStyle w:val="3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right="270" w:rightChars="0" w:firstLine="280" w:firstLineChars="100"/>
              <w:textAlignment w:val="baseline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pacing w:val="-2"/>
                <w:kern w:val="2"/>
                <w:sz w:val="28"/>
                <w:szCs w:val="28"/>
                <w:lang w:val="en-US" w:eastAsia="zh-CN"/>
              </w:rPr>
              <w:t xml:space="preserve"> 六、工作推进措施</w:t>
            </w:r>
          </w:p>
          <w:p w14:paraId="57115A9C">
            <w:pPr>
              <w:pStyle w:val="3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right="270" w:rightChars="0" w:firstLine="536"/>
              <w:textAlignment w:val="baseline"/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（一）加强组织管理。围绕</w:t>
            </w:r>
            <w:r>
              <w:rPr>
                <w:rFonts w:hint="eastAsia" w:ascii="仿宋_GB2312" w:hAnsi="仿宋_GB2312" w:eastAsia="仿宋_GB2312" w:cs="仿宋_GB2312"/>
                <w:spacing w:val="-6"/>
                <w:sz w:val="28"/>
                <w:szCs w:val="28"/>
              </w:rPr>
              <w:t>202</w:t>
            </w:r>
            <w:r>
              <w:rPr>
                <w:rFonts w:hint="eastAsia" w:ascii="仿宋_GB2312" w:hAnsi="仿宋_GB2312" w:eastAsia="仿宋_GB2312" w:cs="仿宋_GB2312"/>
                <w:spacing w:val="-6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pacing w:val="-6"/>
                <w:sz w:val="28"/>
                <w:szCs w:val="28"/>
              </w:rPr>
              <w:t>年补助项目的重点任务，结合本地实际制定年度项目实施方</w:t>
            </w:r>
            <w:r>
              <w:rPr>
                <w:rFonts w:hint="eastAsia" w:ascii="仿宋_GB2312" w:hAnsi="仿宋_GB2312" w:eastAsia="仿宋_GB2312" w:cs="仿宋_GB2312"/>
                <w:spacing w:val="-9"/>
                <w:sz w:val="28"/>
                <w:szCs w:val="28"/>
              </w:rPr>
              <w:t>案</w:t>
            </w:r>
            <w:r>
              <w:rPr>
                <w:rFonts w:hint="eastAsia" w:ascii="仿宋_GB2312" w:hAnsi="仿宋_GB2312" w:eastAsia="仿宋_GB2312" w:cs="仿宋_GB2312"/>
                <w:spacing w:val="-9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pacing w:val="-9"/>
                <w:sz w:val="28"/>
                <w:szCs w:val="28"/>
              </w:rPr>
              <w:t>进一步健全工作组织协调机制，加强补助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项目与现代农业产业技术体系、生物育种产业化应用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示范种植等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工作有机结合，推动政策衔接配套，实现上下协同联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动，统筹推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进重点任务。</w:t>
            </w:r>
          </w:p>
          <w:p w14:paraId="02532EC1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left="7" w:firstLine="552" w:firstLineChars="200"/>
              <w:textAlignment w:val="baseline"/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（二）加强绩效管理。</w:t>
            </w:r>
            <w:r>
              <w:rPr>
                <w:rFonts w:hint="eastAsia" w:ascii="仿宋_GB2312" w:hAnsi="仿宋_GB2312" w:eastAsia="仿宋_GB2312" w:cs="仿宋_GB2312"/>
                <w:spacing w:val="-8"/>
                <w:sz w:val="28"/>
                <w:szCs w:val="28"/>
              </w:rPr>
              <w:t>主推技术到位率作为2026年中央乡村振兴考核重要内容</w:t>
            </w:r>
            <w:r>
              <w:rPr>
                <w:rFonts w:hint="eastAsia" w:ascii="仿宋_GB2312" w:hAnsi="仿宋_GB2312" w:eastAsia="仿宋_GB2312" w:cs="仿宋_GB2312"/>
                <w:spacing w:val="-8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通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过集中</w:t>
            </w: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8"/>
              </w:rPr>
              <w:t>考评、线上抽查、实地核查等方式，实现项目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绩效管理全过程覆</w:t>
            </w:r>
            <w:r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</w:rPr>
              <w:t>盖。</w:t>
            </w:r>
            <w:r>
              <w:rPr>
                <w:rFonts w:hint="eastAsia" w:ascii="仿宋_GB2312" w:hAnsi="仿宋_GB2312" w:eastAsia="仿宋_GB2312" w:cs="仿宋_GB2312"/>
                <w:spacing w:val="-8"/>
                <w:sz w:val="28"/>
                <w:szCs w:val="28"/>
              </w:rPr>
              <w:t>建立项目资金专账，按照“谁使用、谁负责”的原则强化资金监管，确保资金使用效益。按照《农业相关转移支付资金绩效管理办法》，建立健全日常动态管理机制，紧盯执行进度。针对项目实施过程中遇到的困难问题，及时协调解决，整改到位。对于挤占挪用、骗取套取补助资金等违法违规行为，按规定严肃处理。</w:t>
            </w:r>
          </w:p>
          <w:p w14:paraId="38D71668">
            <w:pPr>
              <w:pStyle w:val="3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560" w:lineRule="exact"/>
              <w:ind w:left="91" w:firstLine="552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（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  <w:lang w:eastAsia="zh-CN"/>
              </w:rPr>
              <w:t>三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加强宣传总结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。认真做</w:t>
            </w: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8"/>
              </w:rPr>
              <w:t>好项目实施总结，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8"/>
              </w:rPr>
              <w:t>充分挖掘农技推广补助项目组织实施中的典型做法和亮点工作，注重提炼总结，通过现场观摩、典型</w:t>
            </w:r>
            <w:r>
              <w:rPr>
                <w:rFonts w:hint="eastAsia" w:ascii="仿宋_GB2312" w:hAnsi="仿宋_GB2312" w:eastAsia="仿宋_GB2312" w:cs="仿宋_GB2312"/>
                <w:spacing w:val="-10"/>
                <w:sz w:val="28"/>
                <w:szCs w:val="28"/>
              </w:rPr>
              <w:t>推介、会议交流、媒体报道等方式加强信息共享，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营造关注支持农技推广工作的良好氛围。</w:t>
            </w:r>
          </w:p>
        </w:tc>
      </w:tr>
      <w:tr w14:paraId="4AA39C0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7" w:hRule="atLeast"/>
          <w:jc w:val="center"/>
        </w:trPr>
        <w:tc>
          <w:tcPr>
            <w:tcW w:w="647" w:type="dxa"/>
            <w:tcBorders>
              <w:bottom w:val="single" w:color="000000" w:sz="4" w:space="0"/>
            </w:tcBorders>
            <w:noWrap w:val="0"/>
            <w:vAlign w:val="center"/>
          </w:tcPr>
          <w:p w14:paraId="330E1C9A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县级农业</w:t>
            </w:r>
          </w:p>
          <w:p w14:paraId="085BA53D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农村部门意见</w:t>
            </w:r>
          </w:p>
        </w:tc>
        <w:tc>
          <w:tcPr>
            <w:tcW w:w="8276" w:type="dxa"/>
            <w:tcBorders>
              <w:bottom w:val="single" w:color="000000" w:sz="4" w:space="0"/>
            </w:tcBorders>
            <w:noWrap w:val="0"/>
            <w:vAlign w:val="top"/>
          </w:tcPr>
          <w:p w14:paraId="1B944AA6"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6738E427">
            <w:pPr>
              <w:pStyle w:val="2"/>
              <w:rPr>
                <w:rFonts w:hint="eastAsia"/>
              </w:rPr>
            </w:pPr>
          </w:p>
          <w:p w14:paraId="1EC27EB7">
            <w:pPr>
              <w:ind w:firstLine="1680" w:firstLineChars="6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农业农村部门负责人（签字）：</w:t>
            </w:r>
          </w:p>
          <w:p w14:paraId="106E3EF0">
            <w:pPr>
              <w:ind w:firstLine="7000" w:firstLineChars="25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（盖章）                     </w:t>
            </w:r>
          </w:p>
          <w:p w14:paraId="70F549E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</w:t>
            </w:r>
          </w:p>
          <w:p w14:paraId="3CEA6058">
            <w:pPr>
              <w:jc w:val="righ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年   月   日   </w:t>
            </w:r>
          </w:p>
        </w:tc>
      </w:tr>
      <w:tr w14:paraId="58D865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5" w:hRule="atLeast"/>
          <w:jc w:val="center"/>
        </w:trPr>
        <w:tc>
          <w:tcPr>
            <w:tcW w:w="647" w:type="dxa"/>
            <w:tcBorders>
              <w:top w:val="single" w:color="000000" w:sz="4" w:space="0"/>
            </w:tcBorders>
            <w:noWrap w:val="0"/>
            <w:vAlign w:val="center"/>
          </w:tcPr>
          <w:p w14:paraId="516784CC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市级农业</w:t>
            </w:r>
          </w:p>
          <w:p w14:paraId="0E8C1505"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农村部门意见</w:t>
            </w:r>
          </w:p>
        </w:tc>
        <w:tc>
          <w:tcPr>
            <w:tcW w:w="8276" w:type="dxa"/>
            <w:tcBorders>
              <w:top w:val="single" w:color="000000" w:sz="4" w:space="0"/>
            </w:tcBorders>
            <w:noWrap w:val="0"/>
            <w:vAlign w:val="top"/>
          </w:tcPr>
          <w:p w14:paraId="25DA663F">
            <w:pPr>
              <w:ind w:firstLine="1680" w:firstLineChars="6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59C030F8">
            <w:pPr>
              <w:pStyle w:val="2"/>
              <w:rPr>
                <w:rFonts w:hint="eastAsia"/>
              </w:rPr>
            </w:pPr>
          </w:p>
          <w:p w14:paraId="2B946169">
            <w:pPr>
              <w:pStyle w:val="2"/>
              <w:rPr>
                <w:rFonts w:hint="eastAsia"/>
              </w:rPr>
            </w:pPr>
          </w:p>
          <w:p w14:paraId="4919A2C2">
            <w:pPr>
              <w:ind w:firstLine="1680" w:firstLineChars="6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农业农村部门负责人（签字）：</w:t>
            </w:r>
          </w:p>
          <w:p w14:paraId="4D612826">
            <w:pPr>
              <w:ind w:firstLine="7000" w:firstLineChars="25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（盖章）                     </w:t>
            </w:r>
          </w:p>
          <w:p w14:paraId="269C5523">
            <w:pPr>
              <w:jc w:val="righ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年   月   日          </w:t>
            </w:r>
          </w:p>
          <w:p w14:paraId="477B7545">
            <w:pPr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</w:tr>
    </w:tbl>
    <w:p w14:paraId="56B2BF1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77840B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CC000E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DCC000E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2724D2"/>
    <w:rsid w:val="54272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/>
    </w:rPr>
  </w:style>
  <w:style w:type="paragraph" w:styleId="2">
    <w:name w:val="heading 2"/>
    <w:basedOn w:val="1"/>
    <w:next w:val="1"/>
    <w:qFormat/>
    <w:uiPriority w:val="0"/>
    <w:pPr>
      <w:jc w:val="left"/>
      <w:outlineLvl w:val="1"/>
    </w:pPr>
    <w:rPr>
      <w:rFonts w:hint="eastAsia" w:ascii="宋体" w:hAnsi="宋体"/>
      <w:b/>
      <w:kern w:val="0"/>
      <w:sz w:val="36"/>
      <w:szCs w:val="36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rPr>
      <w:sz w:val="32"/>
      <w:szCs w:val="32"/>
      <w:lang w:val="en-US" w:eastAsia="en-US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2026-04-02T08:04:00Z</dcterms:created>
  <dc:creator>小草莓臭臭</dc:creator>
  <cp:lastModifiedBy>小草莓臭臭</cp:lastModifiedBy>
  <dcterms:modified xsi:type="dcterms:W3CDTF">2026-04-02T08:04:52Z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2052-12.1.0.25835</vt:lpwstr>
  </property>
  <property fmtid="{D5CDD505-2E9C-101B-9397-08002B2CF9AE}" pid="3" name="ICV">
    <vt:lpwstr>E19EE35F580F4AD69E5AC45E8BC32637_11</vt:lpwstr>
  </property>
  <property fmtid="{D5CDD505-2E9C-101B-9397-08002B2CF9AE}" pid="4" name="KSOTemplateDocerSaveRecord">
    <vt:lpwstr>eyJoZGlkIjoiNjMzNWZhMGVkMzY2MmE1N2UzMzhiNGI3ZWUwMTJlMzUiLCJ1c2VySWQiOiI4NzI4OTAwNTEifQ==</vt:lpwstr>
  </property>
</Properties>
</file>