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F639DC">
      <w:pPr>
        <w:pStyle w:val="7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80" w:lineRule="exact"/>
        <w:ind w:left="0" w:right="0" w:firstLine="0"/>
        <w:jc w:val="center"/>
        <w:textAlignment w:val="auto"/>
        <w:rPr>
          <w:rStyle w:val="10"/>
          <w:rFonts w:hint="eastAsia" w:ascii="Times New Roman" w:hAnsi="Times New Roman" w:eastAsia="方正小标宋简体" w:cs="宋体"/>
          <w:b w:val="0"/>
          <w:bCs w:val="0"/>
          <w:i w:val="0"/>
          <w:iCs w:val="0"/>
          <w:caps w:val="0"/>
          <w:smallCaps w:val="0"/>
          <w:color w:val="0F1115"/>
          <w:spacing w:val="0"/>
          <w:sz w:val="44"/>
          <w:szCs w:val="44"/>
          <w:shd w:val="clear" w:color="auto" w:fill="FFFFFF"/>
        </w:rPr>
      </w:pPr>
      <w:r>
        <w:rPr>
          <w:rStyle w:val="10"/>
          <w:rFonts w:hint="eastAsia" w:ascii="Times New Roman" w:hAnsi="Times New Roman" w:eastAsia="方正小标宋简体" w:cs="宋体"/>
          <w:b w:val="0"/>
          <w:bCs w:val="0"/>
          <w:i w:val="0"/>
          <w:iCs w:val="0"/>
          <w:caps w:val="0"/>
          <w:smallCaps w:val="0"/>
          <w:color w:val="0F1115"/>
          <w:spacing w:val="0"/>
          <w:sz w:val="44"/>
          <w:szCs w:val="44"/>
          <w:shd w:val="clear" w:color="auto" w:fill="FFFFFF"/>
        </w:rPr>
        <w:t>晋州市市场监管系统2026年</w:t>
      </w:r>
      <w:r>
        <w:rPr>
          <w:rFonts w:hint="eastAsia" w:ascii="Times New Roman" w:hAnsi="Times New Roman" w:eastAsia="方正小标宋简体" w:cs="宋体"/>
          <w:b w:val="0"/>
          <w:bCs w:val="0"/>
          <w:i w:val="0"/>
          <w:iCs w:val="0"/>
          <w:caps w:val="0"/>
          <w:smallCaps w:val="0"/>
          <w:color w:val="0F1115"/>
          <w:spacing w:val="0"/>
          <w:sz w:val="44"/>
          <w:szCs w:val="44"/>
          <w:shd w:val="clear" w:color="auto" w:fill="FFFFFF"/>
        </w:rPr>
        <w:br w:type="textWrapping"/>
      </w:r>
      <w:r>
        <w:rPr>
          <w:rStyle w:val="10"/>
          <w:rFonts w:hint="eastAsia" w:ascii="Times New Roman" w:hAnsi="Times New Roman" w:eastAsia="方正小标宋简体" w:cs="宋体"/>
          <w:b w:val="0"/>
          <w:bCs w:val="0"/>
          <w:i w:val="0"/>
          <w:iCs w:val="0"/>
          <w:caps w:val="0"/>
          <w:smallCaps w:val="0"/>
          <w:color w:val="0F1115"/>
          <w:spacing w:val="0"/>
          <w:sz w:val="44"/>
          <w:szCs w:val="44"/>
          <w:shd w:val="clear" w:color="auto" w:fill="FFFFFF"/>
        </w:rPr>
        <w:t>“双随机、一公开”监管工作实施方案</w:t>
      </w:r>
    </w:p>
    <w:p w14:paraId="7395A062">
      <w:pPr>
        <w:pStyle w:val="7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0"/>
        <w:jc w:val="center"/>
        <w:textAlignment w:val="auto"/>
        <w:rPr>
          <w:rStyle w:val="10"/>
          <w:rFonts w:hint="eastAsia" w:ascii="Times New Roman" w:hAnsi="Times New Roman" w:eastAsia="宋体" w:cs="宋体"/>
          <w:b/>
          <w:bCs/>
          <w:i w:val="0"/>
          <w:iCs w:val="0"/>
          <w:caps w:val="0"/>
          <w:smallCaps w:val="0"/>
          <w:color w:val="0F1115"/>
          <w:spacing w:val="0"/>
          <w:sz w:val="44"/>
          <w:szCs w:val="44"/>
          <w:shd w:val="clear" w:color="auto" w:fill="FFFFFF"/>
        </w:rPr>
      </w:pPr>
    </w:p>
    <w:p w14:paraId="136DD1DA">
      <w:pPr>
        <w:pStyle w:val="7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20" w:lineRule="exact"/>
        <w:ind w:left="0" w:right="0" w:firstLine="640" w:firstLineChars="200"/>
        <w:textAlignment w:val="auto"/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</w:rPr>
      </w:pP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为深入贯彻落实党中央、国务院及省委省政府关于优化营商环境的决策部署，全面落实《2026年河北省市场监管系统“双随机、一公开”监管工作实施方案》</w:t>
      </w:r>
      <w:r>
        <w:rPr>
          <w:rFonts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、</w:t>
      </w: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《2026年</w:t>
      </w:r>
      <w:r>
        <w:rPr>
          <w:rFonts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石家庄市</w:t>
      </w: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市场监管系统“双随机、一公开”监管工作实施方案》</w:t>
      </w:r>
      <w:r>
        <w:rPr>
          <w:rFonts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的</w:t>
      </w: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各项要求，进一步规范涉企行政检查，提升监管效能，营造公平有序的市场环境，结合我市实际，制定本方案。</w:t>
      </w:r>
    </w:p>
    <w:p w14:paraId="6A77D6AE">
      <w:pPr>
        <w:pStyle w:val="7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20" w:lineRule="exact"/>
        <w:ind w:right="0"/>
        <w:textAlignment w:val="auto"/>
        <w:rPr>
          <w:rStyle w:val="10"/>
          <w:rFonts w:hint="eastAsia" w:ascii="Times New Roman" w:hAnsi="Times New Roman" w:eastAsia="仿宋_GB2312" w:cs="黑体"/>
          <w:b w:val="0"/>
          <w:bCs w:val="0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  <w:lang w:eastAsia="zh-CN"/>
        </w:rPr>
      </w:pPr>
      <w:r>
        <w:rPr>
          <w:rStyle w:val="10"/>
          <w:rFonts w:hint="eastAsia" w:ascii="Times New Roman" w:hAnsi="Times New Roman" w:eastAsia="仿宋_GB2312" w:cs="黑体"/>
          <w:b w:val="0"/>
          <w:bCs w:val="0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  <w:lang w:eastAsia="zh-CN"/>
        </w:rPr>
        <w:t>一、工作目标</w:t>
      </w:r>
    </w:p>
    <w:p w14:paraId="7EE55AA6">
      <w:pPr>
        <w:pStyle w:val="7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20" w:lineRule="exact"/>
        <w:ind w:left="0" w:right="0" w:firstLine="640" w:firstLineChars="200"/>
        <w:textAlignment w:val="auto"/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持续规范涉企行政检查，提升行政检查效能，深入推进“双随机、一公开”监管常态化、精细化、智能化。推动市场监管系统内部联合抽查和跨部门联合抽查常态化，避免重复检查、多头检查；推行非现场检查，减少入企频次；深化信用风险分类管理，实施差异化、靶向化抽查，实现对守法者“无事不扰”，对违法者“无处不在”。</w:t>
      </w:r>
    </w:p>
    <w:p w14:paraId="2C8E1966">
      <w:pPr>
        <w:pStyle w:val="7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20" w:lineRule="exact"/>
        <w:ind w:right="0"/>
        <w:textAlignment w:val="auto"/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</w:pPr>
      <w:r>
        <w:rPr>
          <w:rStyle w:val="10"/>
          <w:rFonts w:hint="eastAsia" w:ascii="Times New Roman" w:hAnsi="Times New Roman" w:eastAsia="仿宋_GB2312" w:cs="黑体"/>
          <w:b w:val="0"/>
          <w:bCs w:val="0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  <w:lang w:eastAsia="zh-CN"/>
        </w:rPr>
        <w:t>二、</w:t>
      </w:r>
      <w:r>
        <w:rPr>
          <w:rStyle w:val="10"/>
          <w:rFonts w:hint="eastAsia" w:ascii="Times New Roman" w:hAnsi="Times New Roman" w:eastAsia="仿宋_GB2312" w:cs="黑体"/>
          <w:b w:val="0"/>
          <w:bCs w:val="0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主要任务</w:t>
      </w: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br w:type="textWrapping"/>
      </w:r>
      <w:r>
        <w:rPr>
          <w:rFonts w:hint="eastAsia" w:ascii="Times New Roman" w:hAnsi="Times New Roman" w:eastAsia="仿宋_GB2312" w:cs="仿宋"/>
          <w:b/>
          <w:bCs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（一）优化完善工作平台运用</w:t>
      </w:r>
    </w:p>
    <w:p w14:paraId="45C529D3">
      <w:pPr>
        <w:pStyle w:val="7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20" w:lineRule="exact"/>
        <w:ind w:left="0" w:right="0" w:firstLine="640" w:firstLineChars="200"/>
        <w:textAlignment w:val="auto"/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全市系统应加强河北省双随机执法监管平台</w:t>
      </w: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  <w:lang w:eastAsia="zh-CN"/>
        </w:rPr>
        <w:t>（</w:t>
      </w: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以下简称省监管平台</w:t>
      </w: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  <w:lang w:eastAsia="zh-CN"/>
        </w:rPr>
        <w:t>）</w:t>
      </w: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的操作培训，确保所有行政检查全过程</w:t>
      </w: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  <w:lang w:eastAsia="zh-CN"/>
        </w:rPr>
        <w:t>高效</w:t>
      </w: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、</w:t>
      </w: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  <w:lang w:eastAsia="zh-CN"/>
        </w:rPr>
        <w:t>准确</w:t>
      </w: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。实现检查结果后续处置与列入经营异常名录、信用修复等环节</w:t>
      </w: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  <w:lang w:eastAsia="zh-CN"/>
        </w:rPr>
        <w:t>有效</w:t>
      </w: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衔接，形成“检查—处理—公示—修复”管理闭环。</w:t>
      </w:r>
    </w:p>
    <w:p w14:paraId="1ECB52A5">
      <w:pPr>
        <w:pStyle w:val="7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20" w:lineRule="exact"/>
        <w:ind w:left="0" w:right="0" w:firstLine="643" w:firstLineChars="200"/>
        <w:textAlignment w:val="auto"/>
        <w:rPr>
          <w:rFonts w:hint="eastAsia" w:ascii="Times New Roman" w:hAnsi="Times New Roman" w:eastAsia="仿宋_GB2312" w:cs="仿宋"/>
          <w:b/>
          <w:bCs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仿宋_GB2312" w:cs="仿宋"/>
          <w:b/>
          <w:bCs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（二）规范管理“一单两库”</w:t>
      </w:r>
    </w:p>
    <w:p w14:paraId="6AB2AB1F">
      <w:pPr>
        <w:pStyle w:val="7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20" w:lineRule="exact"/>
        <w:ind w:left="0" w:right="0" w:firstLine="640" w:firstLineChars="200"/>
        <w:textAlignment w:val="auto"/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动态更新抽查事项清单：根据法律法规立改废情况及省局清单，动态调整并公示本级随机抽查事项清单，明确检查依据、内容与要求。</w:t>
      </w:r>
    </w:p>
    <w:p w14:paraId="59944BC0">
      <w:pPr>
        <w:pStyle w:val="7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20" w:lineRule="exact"/>
        <w:ind w:left="0" w:right="0" w:firstLine="640" w:firstLineChars="200"/>
        <w:textAlignment w:val="auto"/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精准维护检查对象名录库：及时在省监管平台认领新增检查对象，实施标签化管理，结合信用分类标注，实现监管对象精准索引。</w:t>
      </w:r>
    </w:p>
    <w:p w14:paraId="487290F2">
      <w:pPr>
        <w:pStyle w:val="7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20" w:lineRule="exact"/>
        <w:ind w:left="0" w:right="0" w:firstLine="640" w:firstLineChars="200"/>
        <w:textAlignment w:val="auto"/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优化执法人员名录库：及时更新执法人员信息，按业务专长、执法资质、回避范围等分类标注，实现“人、事”精准匹配。</w:t>
      </w:r>
    </w:p>
    <w:p w14:paraId="66FF089B">
      <w:pPr>
        <w:pStyle w:val="7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20" w:lineRule="exact"/>
        <w:ind w:left="0" w:right="0" w:firstLine="643" w:firstLineChars="200"/>
        <w:textAlignment w:val="auto"/>
        <w:rPr>
          <w:rFonts w:hint="eastAsia" w:ascii="Times New Roman" w:hAnsi="Times New Roman" w:eastAsia="仿宋_GB2312" w:cs="仿宋"/>
          <w:b/>
          <w:bCs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仿宋_GB2312" w:cs="仿宋"/>
          <w:b/>
          <w:bCs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（三）科学制定与实施抽查计划</w:t>
      </w:r>
    </w:p>
    <w:p w14:paraId="0CBDB61C">
      <w:pPr>
        <w:pStyle w:val="7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20" w:lineRule="exact"/>
        <w:ind w:left="0" w:right="0" w:firstLine="640" w:firstLineChars="200"/>
        <w:textAlignment w:val="auto"/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统筹制定计划：依据省</w:t>
      </w:r>
      <w:r>
        <w:rPr>
          <w:rFonts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、市</w:t>
      </w: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局部署和法定职责，结合辖区行业特点与风险状况，科学制定年度抽查计划，及时向社会公示。抽查企业比例不低于全市企业总数的3%，个体工商户、农民专业合作社比例结合实际确定。</w:t>
      </w:r>
    </w:p>
    <w:p w14:paraId="761CBFFC">
      <w:pPr>
        <w:pStyle w:val="7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20" w:lineRule="exact"/>
        <w:ind w:left="0" w:right="0" w:firstLine="640" w:firstLineChars="200"/>
        <w:textAlignment w:val="auto"/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规范组织实施：严格执行“扫码入企”制度，出示执法证件，主动接受检查对象评价。严格按照计划时限开展检查，杜绝任务超期。</w:t>
      </w:r>
    </w:p>
    <w:p w14:paraId="047A6F84">
      <w:pPr>
        <w:pStyle w:val="7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20" w:lineRule="exact"/>
        <w:ind w:left="0" w:right="0" w:firstLine="640" w:firstLineChars="200"/>
        <w:textAlignment w:val="auto"/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强化结果处置与闭环衔接：对检查结果的认定须依法、严谨、准确，确保程序规范、证据完整。特别是对通过登记住所（经营场所）无法联系的检查对象，必须严格按照《企业公示信息抽查办法》规定进行认定，做到检查结果公示、后续监管与信用惩戒有效衔接，实现闭环管理。</w:t>
      </w:r>
    </w:p>
    <w:p w14:paraId="04B48E2F">
      <w:pPr>
        <w:pStyle w:val="7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20" w:lineRule="exact"/>
        <w:ind w:left="0" w:right="0" w:firstLine="643" w:firstLineChars="200"/>
        <w:textAlignment w:val="auto"/>
        <w:rPr>
          <w:rFonts w:hint="eastAsia" w:ascii="Times New Roman" w:hAnsi="Times New Roman" w:eastAsia="仿宋_GB2312" w:cs="仿宋"/>
          <w:b/>
          <w:bCs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仿宋_GB2312" w:cs="仿宋"/>
          <w:b/>
          <w:bCs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深化联合抽查与差异化监管</w:t>
      </w:r>
    </w:p>
    <w:p w14:paraId="256A5E1B">
      <w:pPr>
        <w:pStyle w:val="7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20" w:lineRule="exact"/>
        <w:ind w:left="0" w:right="0" w:firstLine="640" w:firstLineChars="200"/>
        <w:textAlignment w:val="auto"/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坚持“应合尽合、应联尽联”，发挥信用监管牵头作用，统筹推进系统内及跨部门联合抽查，深化“一业一查”模式。根据经营主体信用风险分类结果，实施差异化抽查：对信用风险低的企业，除法律法规另有规定外，本年度内原则上不重复抽查；对风险高的企业提高抽查比例和频次。</w:t>
      </w:r>
    </w:p>
    <w:p w14:paraId="51FA053F">
      <w:pPr>
        <w:pStyle w:val="7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20" w:lineRule="exact"/>
        <w:ind w:left="0" w:right="0" w:firstLine="643" w:firstLineChars="200"/>
        <w:textAlignment w:val="auto"/>
        <w:rPr>
          <w:rFonts w:hint="eastAsia" w:ascii="Times New Roman" w:hAnsi="Times New Roman" w:eastAsia="仿宋_GB2312" w:cs="仿宋"/>
          <w:b/>
          <w:bCs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仿宋_GB2312" w:cs="仿宋"/>
          <w:b/>
          <w:bCs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推行非现场检查</w:t>
      </w:r>
    </w:p>
    <w:p w14:paraId="6935859D">
      <w:pPr>
        <w:pStyle w:val="7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20" w:lineRule="exact"/>
        <w:ind w:left="0" w:right="0" w:firstLine="640" w:firstLineChars="200"/>
        <w:textAlignment w:val="auto"/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对可通过远程监测、数据自动校验、风险预警等方式实现有效监管的事项，积极推行非现场检查。探索建立非现场检查程序规则，最大限度减少现场检查比例，减少对企业正常经营的干扰。</w:t>
      </w:r>
    </w:p>
    <w:p w14:paraId="14902D1F">
      <w:pPr>
        <w:pStyle w:val="7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20" w:lineRule="exact"/>
        <w:ind w:left="0" w:right="0" w:firstLine="643" w:firstLineChars="200"/>
        <w:textAlignment w:val="auto"/>
        <w:rPr>
          <w:rFonts w:hint="eastAsia" w:ascii="Times New Roman" w:hAnsi="Times New Roman" w:eastAsia="仿宋_GB2312" w:cs="仿宋"/>
          <w:b/>
          <w:bCs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仿宋_GB2312" w:cs="仿宋"/>
          <w:b/>
          <w:bCs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开展风险靶向抽查</w:t>
      </w:r>
    </w:p>
    <w:p w14:paraId="1938729E">
      <w:pPr>
        <w:pStyle w:val="7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20" w:lineRule="exact"/>
        <w:ind w:left="0" w:right="0" w:firstLine="640" w:firstLineChars="200"/>
        <w:textAlignment w:val="auto"/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结合投诉举报、舆情监测、风险预警及日常监管中发现的多发、易发风险隐患，组织开展靶向抽查。重点关注“零值年报”“一址多照”等风险线索，依法加大问题处置与惩戒力度，防范区域性、行业性风险。认真贯彻落实新修订《公司法》，做好登记事项、认缴实缴、即时信息公示等监管工作。</w:t>
      </w:r>
    </w:p>
    <w:p w14:paraId="14F3EEF8">
      <w:pPr>
        <w:pStyle w:val="7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20" w:lineRule="exact"/>
        <w:ind w:right="0"/>
        <w:textAlignment w:val="auto"/>
        <w:rPr>
          <w:rStyle w:val="10"/>
          <w:rFonts w:hint="eastAsia" w:ascii="Times New Roman" w:hAnsi="Times New Roman" w:eastAsia="仿宋_GB2312" w:cs="仿宋"/>
          <w:b/>
          <w:bCs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</w:pPr>
      <w:r>
        <w:rPr>
          <w:rStyle w:val="10"/>
          <w:rFonts w:hint="eastAsia" w:ascii="Times New Roman" w:hAnsi="Times New Roman" w:eastAsia="仿宋_GB2312" w:cs="黑体"/>
          <w:b/>
          <w:bCs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  <w:lang w:eastAsia="zh-CN"/>
        </w:rPr>
        <w:t>三、</w:t>
      </w:r>
      <w:r>
        <w:rPr>
          <w:rStyle w:val="10"/>
          <w:rFonts w:hint="eastAsia" w:ascii="Times New Roman" w:hAnsi="Times New Roman" w:eastAsia="仿宋_GB2312" w:cs="黑体"/>
          <w:b/>
          <w:bCs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工作要求</w:t>
      </w: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br w:type="textWrapping"/>
      </w:r>
      <w:r>
        <w:rPr>
          <w:rStyle w:val="10"/>
          <w:rFonts w:hint="eastAsia" w:ascii="Times New Roman" w:hAnsi="Times New Roman" w:eastAsia="仿宋_GB2312" w:cs="仿宋"/>
          <w:b/>
          <w:bCs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（一）加强统筹协调与督导</w:t>
      </w:r>
    </w:p>
    <w:p w14:paraId="0C6A97F2">
      <w:pPr>
        <w:pStyle w:val="7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20" w:lineRule="exact"/>
        <w:ind w:left="0" w:right="0" w:firstLine="640" w:firstLineChars="200"/>
        <w:textAlignment w:val="auto"/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市局</w:t>
      </w: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  <w:lang w:eastAsia="zh-CN"/>
        </w:rPr>
        <w:t>将</w:t>
      </w: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定期组织开展双随机抽查回访和调研。对抽查检查走形式、随意录入检查结果等问题，在一定范围内予以通报，并督促整改。各业务</w:t>
      </w:r>
      <w:r>
        <w:rPr>
          <w:rFonts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股</w:t>
      </w: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室</w:t>
      </w: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  <w:lang w:eastAsia="zh-CN"/>
        </w:rPr>
        <w:t>需</w:t>
      </w: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加强对本条线抽查工作的指导，及时回应基层疑问。</w:t>
      </w:r>
    </w:p>
    <w:p w14:paraId="7BB8CDAB">
      <w:pPr>
        <w:pStyle w:val="7"/>
        <w:keepNext w:val="0"/>
        <w:keepLines w:val="0"/>
        <w:pageBreakBefore w:val="0"/>
        <w:widowControl/>
        <w:numPr>
          <w:ilvl w:val="0"/>
          <w:numId w:val="4"/>
        </w:numPr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20" w:lineRule="exact"/>
        <w:ind w:left="0" w:right="0" w:firstLine="0"/>
        <w:textAlignment w:val="auto"/>
        <w:rPr>
          <w:rStyle w:val="10"/>
          <w:rFonts w:hint="eastAsia" w:ascii="Times New Roman" w:hAnsi="Times New Roman" w:eastAsia="仿宋_GB2312" w:cs="仿宋"/>
          <w:b/>
          <w:bCs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</w:pPr>
      <w:r>
        <w:rPr>
          <w:rStyle w:val="10"/>
          <w:rFonts w:hint="eastAsia" w:ascii="Times New Roman" w:hAnsi="Times New Roman" w:eastAsia="仿宋_GB2312" w:cs="仿宋"/>
          <w:b/>
          <w:bCs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严肃检查纪律</w:t>
      </w:r>
    </w:p>
    <w:p w14:paraId="5CFD2865">
      <w:pPr>
        <w:pStyle w:val="7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20" w:lineRule="exact"/>
        <w:ind w:left="0" w:right="0" w:firstLine="640" w:firstLineChars="200"/>
        <w:textAlignment w:val="auto"/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严格落实涉企行政检查“五个严禁”“八个不得”要求，坚决杜绝任性检查、运动式检查和变相检查。对随意录入或修改检查结果、超期未完成抽查任务的单位和个人，</w:t>
      </w: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  <w:lang w:eastAsia="zh-CN"/>
        </w:rPr>
        <w:t>省市局将</w:t>
      </w: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依规进行约谈提醒。</w:t>
      </w:r>
    </w:p>
    <w:p w14:paraId="038E79A0">
      <w:pPr>
        <w:pStyle w:val="7"/>
        <w:keepNext w:val="0"/>
        <w:keepLines w:val="0"/>
        <w:pageBreakBefore w:val="0"/>
        <w:widowControl/>
        <w:numPr>
          <w:ilvl w:val="0"/>
          <w:numId w:val="4"/>
        </w:numPr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20" w:lineRule="exact"/>
        <w:ind w:left="0" w:right="0" w:firstLine="0"/>
        <w:textAlignment w:val="auto"/>
        <w:rPr>
          <w:rStyle w:val="10"/>
          <w:rFonts w:hint="eastAsia" w:ascii="Times New Roman" w:hAnsi="Times New Roman" w:eastAsia="仿宋_GB2312" w:cs="仿宋"/>
          <w:b/>
          <w:bCs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</w:pPr>
      <w:r>
        <w:rPr>
          <w:rStyle w:val="10"/>
          <w:rFonts w:hint="eastAsia" w:ascii="Times New Roman" w:hAnsi="Times New Roman" w:eastAsia="仿宋_GB2312" w:cs="仿宋"/>
          <w:b/>
          <w:bCs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及时反馈报送</w:t>
      </w:r>
    </w:p>
    <w:p w14:paraId="4E84CC50">
      <w:pPr>
        <w:pStyle w:val="7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20" w:lineRule="exact"/>
        <w:ind w:left="0" w:right="0" w:firstLine="640" w:firstLineChars="200"/>
        <w:textAlignment w:val="auto"/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严格按照省、市局工作要求，按时报送工作进展、抽查数据、典型案例及经验做法。对监管平台使用、抽查实施中的问题与建议，及时</w:t>
      </w:r>
      <w:bookmarkStart w:id="0" w:name="_GoBack"/>
      <w:bookmarkEnd w:id="0"/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向</w:t>
      </w:r>
      <w:r>
        <w:rPr>
          <w:rFonts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信用监督股</w:t>
      </w: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反馈</w:t>
      </w:r>
      <w:r>
        <w:rPr>
          <w:rFonts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，信用监督股汇总整理后向市局反馈</w:t>
      </w: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。</w:t>
      </w:r>
    </w:p>
    <w:p w14:paraId="2D10D4F9">
      <w:pPr>
        <w:pStyle w:val="7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0"/>
        <w:textAlignment w:val="auto"/>
        <w:rPr>
          <w:rFonts w:hint="eastAsia" w:ascii="Times New Roman" w:hAnsi="Times New Roman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</w:rPr>
      </w:pPr>
    </w:p>
    <w:sectPr>
      <w:footerReference r:id="rId3" w:type="default"/>
      <w:pgSz w:w="11906" w:h="16838"/>
      <w:pgMar w:top="1417" w:right="1417" w:bottom="1417" w:left="1417" w:header="851" w:footer="992" w:gutter="0"/>
      <w:pgNumType w:fmt="decimal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Lucida Sans">
    <w:altName w:val="Lucida Sans Unicode"/>
    <w:panose1 w:val="020B0602030504020204"/>
    <w:charset w:val="00"/>
    <w:family w:val="auto"/>
    <w:pitch w:val="default"/>
    <w:sig w:usb0="00000000" w:usb1="00000000" w:usb2="00000000" w:usb3="00000000" w:csb0="20000001" w:csb1="00000000"/>
  </w:font>
  <w:font w:name="方正兰亭黑_GBK">
    <w:altName w:val="微软雅黑"/>
    <w:panose1 w:val="02000000000000000000"/>
    <w:charset w:val="86"/>
    <w:family w:val="script"/>
    <w:pitch w:val="default"/>
    <w:sig w:usb0="00000000" w:usb1="00000000" w:usb2="0008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KSOF82BD94DB">
    <w:panose1 w:val="020B0703020204020201"/>
    <w:charset w:val="86"/>
    <w:family w:val="auto"/>
    <w:pitch w:val="default"/>
    <w:sig w:usb0="00000001" w:usb1="00000000" w:usb2="00000000" w:usb3="00000000" w:csb0="00040001" w:csb1="00000000"/>
  </w:font>
  <w:font w:name="Lucida Sans Unicode">
    <w:panose1 w:val="020B0602030504020204"/>
    <w:charset w:val="00"/>
    <w:family w:val="auto"/>
    <w:pitch w:val="default"/>
    <w:sig w:usb0="80001AFF" w:usb1="0000396B" w:usb2="00000000" w:usb3="00000000" w:csb0="200000BF" w:csb1="D7F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7C1398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76200" cy="13335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200" cy="133052"/>
                      </a:xfrm>
                      <a:prstGeom prst="rect">
                        <a:avLst/>
                      </a:prstGeom>
                      <a:noFill/>
                      <a:ln w="6350" cap="flat" cmpd="sng">
                        <a:noFill/>
                        <a:prstDash val="solid"/>
                        <a:round/>
                      </a:ln>
                    </wps:spPr>
                    <wps:txbx>
                      <w:txbxContent>
                        <w:p w14:paraId="4BC8D3AC">
                          <w:pPr>
                            <w:pStyle w:val="5"/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2" o:spid="_x0000_s1026" o:spt="1" style="position:absolute;left:0pt;margin-top:0pt;height:10.5pt;width:6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">
              <v:fill on="f" focussize="0,0"/>
              <v:stroke on="f" weight="0.5pt" joinstyle="round"/>
              <v:imagedata o:title=""/>
              <o:lock v:ext="edit" aspectratio="f"/>
              <v:textbox inset="0mm,0mm,0mm,0mm" style="mso-fit-shape-to-text:t;">
                <w:txbxContent>
                  <w:p w14:paraId="4BC8D3AC">
                    <w:pPr>
                      <w:pStyle w:val="5"/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rect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112E3EB"/>
    <w:multiLevelType w:val="singleLevel"/>
    <w:tmpl w:val="9112E3EB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F7CCD367"/>
    <w:multiLevelType w:val="singleLevel"/>
    <w:tmpl w:val="F7CCD367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2">
    <w:nsid w:val="29A34033"/>
    <w:multiLevelType w:val="singleLevel"/>
    <w:tmpl w:val="29A34033"/>
    <w:lvl w:ilvl="0" w:tentative="0">
      <w:start w:val="4"/>
      <w:numFmt w:val="chineseCounting"/>
      <w:suff w:val="nothing"/>
      <w:lvlText w:val="（%1）"/>
      <w:lvlJc w:val="left"/>
      <w:rPr>
        <w:rFonts w:hint="eastAsia"/>
      </w:rPr>
    </w:lvl>
  </w:abstractNum>
  <w:abstractNum w:abstractNumId="3">
    <w:nsid w:val="36D0A0F7"/>
    <w:multiLevelType w:val="singleLevel"/>
    <w:tmpl w:val="36D0A0F7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ulTrailSpace/>
    <w:doNotExpandShiftReturn/>
    <w:adjustLineHeightInTable/>
    <w:useFELayout/>
    <w:doNotUseIndentAsNumberingTabStop/>
    <w:compatSetting w:name="compatibilityMode" w:uri="http://schemas.microsoft.com/office/word" w:val="14"/>
  </w:compat>
  <w:rsids>
    <w:rsidRoot w:val="00000000"/>
    <w:rsid w:val="0C8F57C2"/>
    <w:rsid w:val="4A7C4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Lucida Sans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12"/>
    <w:qFormat/>
    <w:uiPriority w:val="0"/>
    <w:pPr>
      <w:spacing w:before="0" w:beforeAutospacing="1" w:after="0" w:afterAutospacing="1"/>
      <w:jc w:val="left"/>
      <w:outlineLvl w:val="0"/>
    </w:pPr>
    <w:rPr>
      <w:rFonts w:ascii="宋体" w:hAnsi="宋体" w:eastAsia="宋体" w:cs="宋体"/>
      <w:b/>
      <w:bCs/>
      <w:kern w:val="44"/>
      <w:sz w:val="48"/>
      <w:szCs w:val="48"/>
      <w:lang w:val="en-US" w:eastAsia="zh-CN"/>
    </w:rPr>
  </w:style>
  <w:style w:type="paragraph" w:styleId="3">
    <w:name w:val="heading 2"/>
    <w:basedOn w:val="1"/>
    <w:next w:val="1"/>
    <w:link w:val="13"/>
    <w:qFormat/>
    <w:uiPriority w:val="0"/>
    <w:pPr>
      <w:keepNext/>
      <w:keepLines/>
      <w:spacing w:before="260" w:after="260" w:line="415" w:lineRule="auto"/>
      <w:outlineLvl w:val="1"/>
    </w:pPr>
    <w:rPr>
      <w:rFonts w:ascii="方正兰亭黑_GBK" w:hAnsi="方正兰亭黑_GBK" w:eastAsia="黑体"/>
      <w:b/>
      <w:bCs/>
      <w:sz w:val="32"/>
      <w:szCs w:val="32"/>
    </w:rPr>
  </w:style>
  <w:style w:type="paragraph" w:styleId="4">
    <w:name w:val="heading 3"/>
    <w:basedOn w:val="1"/>
    <w:next w:val="1"/>
    <w:link w:val="14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9">
    <w:name w:val="Default Paragraph Font"/>
    <w:qFormat/>
    <w:uiPriority w:val="0"/>
  </w:style>
  <w:style w:type="table" w:default="1" w:styleId="8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Normal (Web)"/>
    <w:basedOn w:val="1"/>
    <w:qFormat/>
    <w:uiPriority w:val="0"/>
    <w:rPr>
      <w:sz w:val="24"/>
    </w:rPr>
  </w:style>
  <w:style w:type="character" w:styleId="10">
    <w:name w:val="Strong"/>
    <w:basedOn w:val="9"/>
    <w:qFormat/>
    <w:uiPriority w:val="0"/>
    <w:rPr>
      <w:b/>
    </w:rPr>
  </w:style>
  <w:style w:type="character" w:styleId="11">
    <w:name w:val="Hyperlink"/>
    <w:basedOn w:val="9"/>
    <w:qFormat/>
    <w:uiPriority w:val="0"/>
    <w:rPr>
      <w:color w:val="0000FF"/>
      <w:u w:val="single"/>
    </w:rPr>
  </w:style>
  <w:style w:type="character" w:customStyle="1" w:styleId="12">
    <w:name w:val="heading 1 Char"/>
    <w:basedOn w:val="9"/>
    <w:link w:val="2"/>
    <w:qFormat/>
    <w:uiPriority w:val="0"/>
    <w:rPr>
      <w:rFonts w:ascii="宋体" w:hAnsi="宋体" w:eastAsia="宋体" w:cs="宋体"/>
      <w:b/>
      <w:bCs/>
      <w:kern w:val="44"/>
      <w:sz w:val="48"/>
      <w:szCs w:val="48"/>
      <w:lang w:val="en-US" w:eastAsia="zh-CN" w:bidi="ar-SA"/>
    </w:rPr>
  </w:style>
  <w:style w:type="character" w:customStyle="1" w:styleId="13">
    <w:name w:val="heading 2 Char"/>
    <w:basedOn w:val="9"/>
    <w:link w:val="3"/>
    <w:qFormat/>
    <w:uiPriority w:val="0"/>
    <w:rPr>
      <w:rFonts w:ascii="方正兰亭黑_GBK" w:hAnsi="方正兰亭黑_GBK" w:eastAsia="黑体" w:cs="Arial"/>
      <w:b/>
      <w:bCs/>
      <w:kern w:val="2"/>
      <w:sz w:val="32"/>
      <w:szCs w:val="32"/>
      <w:lang w:val="en-US" w:eastAsia="zh-CN" w:bidi="ar-SA"/>
    </w:rPr>
  </w:style>
  <w:style w:type="character" w:customStyle="1" w:styleId="14">
    <w:name w:val="heading 3 Char"/>
    <w:basedOn w:val="9"/>
    <w:link w:val="4"/>
    <w:qFormat/>
    <w:uiPriority w:val="0"/>
    <w:rPr>
      <w:rFonts w:ascii="Calibri" w:hAnsi="Calibri" w:eastAsia="宋体" w:cs="Arial"/>
      <w:b/>
      <w:bCs/>
      <w:kern w:val="2"/>
      <w:sz w:val="32"/>
      <w:szCs w:val="3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 主题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主题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ap="flat" cmpd="sng">
          <a:solidFill>
            <a:schemeClr val="phClr"/>
          </a:solidFill>
          <a:prstDash val="solid"/>
          <a:miter/>
        </a:ln>
        <a:ln w="12700" cap="flat" cmpd="sng">
          <a:solidFill>
            <a:schemeClr val="phClr"/>
          </a:solidFill>
          <a:prstDash val="solid"/>
          <a:miter/>
        </a:ln>
        <a:ln w="19050" cap="flat" cmpd="sng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297B8D01-9315-41C8-83F5-8E18F5DA958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4</Pages>
  <Words>1582</Words>
  <Characters>1592</Characters>
  <Lines>0</Lines>
  <Paragraphs>28</Paragraphs>
  <TotalTime>31</TotalTime>
  <ScaleCrop>false</ScaleCrop>
  <LinksUpToDate>false</LinksUpToDate>
  <CharactersWithSpaces>1592</CharactersWithSpaces>
  <Application>WPS Office_12.1.0.25225_F1E327BC-269C-435d-A152-05C5408002CA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2026-02-04T02:48:00Z</dcterms:created>
  <dc:creator>宁森淼</dc:creator>
  <cp:lastModifiedBy>有吼食龙</cp:lastModifiedBy>
  <cp:lastPrinted>2026-02-24T01:45:00Z</cp:lastPrinted>
  <dcterms:modified xsi:type="dcterms:W3CDTF">2026-04-07T02:06:27Z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12613E6289064DA09F6EC1B51B0954C0_13</vt:lpwstr>
  </property>
  <property fmtid="{D5CDD505-2E9C-101B-9397-08002B2CF9AE}" pid="4" name="KSOTemplateDocerSaveRecord">
    <vt:lpwstr>eyJoZGlkIjoiYmE2NWFjYWMwMjIyNzNmNTU0Nzc5YjQ1NTA3NDViZTEiLCJ1c2VySWQiOiI5NjMxMTM2NDgifQ==</vt:lpwstr>
  </property>
</Properties>
</file>