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A04D227">
      <w:pPr>
        <w:pStyle w:val="7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80" w:lineRule="exact"/>
        <w:ind w:right="0" w:firstLine="880" w:firstLineChars="20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smallCaps w:val="0"/>
          <w:color w:val="0F1115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smallCaps w:val="0"/>
          <w:color w:val="0F1115"/>
          <w:spacing w:val="0"/>
          <w:sz w:val="44"/>
          <w:szCs w:val="44"/>
          <w:shd w:val="clear" w:color="auto" w:fill="FFFFFF"/>
        </w:rPr>
        <w:t>晋州市202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smallCaps w:val="0"/>
          <w:color w:val="0F1115"/>
          <w:spacing w:val="0"/>
          <w:sz w:val="44"/>
          <w:szCs w:val="44"/>
          <w:shd w:val="clear" w:color="auto" w:fill="FFFFFF"/>
          <w:lang w:val="en-US" w:eastAsia="zh-CN"/>
        </w:rPr>
        <w:t>6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smallCaps w:val="0"/>
          <w:color w:val="0F1115"/>
          <w:spacing w:val="0"/>
          <w:sz w:val="44"/>
          <w:szCs w:val="44"/>
          <w:shd w:val="clear" w:color="auto" w:fill="FFFFFF"/>
        </w:rPr>
        <w:t>年"双随机、一公开"</w:t>
      </w:r>
    </w:p>
    <w:p w14:paraId="3005A675">
      <w:pPr>
        <w:pStyle w:val="7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8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smallCaps w:val="0"/>
          <w:color w:val="0F1115"/>
          <w:spacing w:val="0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smallCaps w:val="0"/>
          <w:color w:val="0F1115"/>
          <w:spacing w:val="0"/>
          <w:sz w:val="44"/>
          <w:szCs w:val="44"/>
          <w:shd w:val="clear" w:color="auto" w:fill="FFFFFF"/>
        </w:rPr>
        <w:t>监管工作实施方案</w:t>
      </w:r>
    </w:p>
    <w:p w14:paraId="31AAD242">
      <w:pPr>
        <w:pStyle w:val="7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0"/>
        <w:jc w:val="center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smallCaps w:val="0"/>
          <w:color w:val="0F1115"/>
          <w:spacing w:val="0"/>
          <w:sz w:val="44"/>
          <w:szCs w:val="44"/>
          <w:shd w:val="clear" w:color="auto" w:fill="FFFFFF"/>
        </w:rPr>
      </w:pPr>
    </w:p>
    <w:p w14:paraId="789D4263">
      <w:pPr>
        <w:pStyle w:val="7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20" w:lineRule="exact"/>
        <w:ind w:left="0" w:right="0" w:firstLine="640" w:firstLineChars="200"/>
        <w:textAlignment w:val="auto"/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</w:rPr>
      </w:pP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为深入贯彻落实国务院、省委省政府和</w:t>
      </w:r>
      <w:bookmarkStart w:id="0" w:name="_GoBack"/>
      <w:bookmarkEnd w:id="0"/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市委市政府关于深化“放管服”改革、优化营商环境部署要求，持续强化“双随机、一公开”监管，提升监管效能，根据《国务院关于在市场监管领域全面推行部门联合“双随机、一公开”监管的意见》（国发〔2019〕5号）、《国务院办公厅关于严格规范涉企行政检查的意见》（国办发〔2024〕54号）、《市场监管总局关于全面深化“双随机、一公开”监管规范涉企行政检查服务高质量发展的意见》（国市监信规〔2024〕5号）</w:t>
      </w:r>
      <w:r>
        <w:rPr>
          <w:rFonts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、</w:t>
      </w: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《2026年河北省“双随机、一公开”监管工作实施方案》</w:t>
      </w:r>
      <w:r>
        <w:rPr>
          <w:rFonts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及《晋州市规范涉企行政检查管理办法（试行）的通知》</w:t>
      </w: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等文件要求，结合我市实际，制定本方案。</w:t>
      </w:r>
    </w:p>
    <w:p w14:paraId="267EBF62">
      <w:pPr>
        <w:pStyle w:val="7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20" w:lineRule="exact"/>
        <w:ind w:left="0" w:right="0" w:firstLine="0"/>
        <w:textAlignment w:val="auto"/>
        <w:rPr>
          <w:rFonts w:hint="eastAsia" w:ascii="Times New Roman" w:hAnsi="Times New Roman" w:eastAsia="仿宋_GB2312" w:cs="黑体"/>
          <w:i w:val="0"/>
          <w:iCs w:val="0"/>
          <w:caps w:val="0"/>
          <w:smallCaps w:val="0"/>
          <w:color w:val="0F1115"/>
          <w:spacing w:val="0"/>
          <w:sz w:val="32"/>
          <w:szCs w:val="32"/>
        </w:rPr>
      </w:pPr>
      <w:r>
        <w:rPr>
          <w:rFonts w:hint="eastAsia" w:ascii="Times New Roman" w:hAnsi="Times New Roman" w:eastAsia="仿宋_GB2312" w:cs="黑体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一、工作思路</w:t>
      </w:r>
    </w:p>
    <w:p w14:paraId="27B97663">
      <w:pPr>
        <w:pStyle w:val="7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20" w:lineRule="exact"/>
        <w:ind w:left="0" w:right="0" w:firstLine="420"/>
        <w:textAlignment w:val="auto"/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</w:rPr>
      </w:pP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强化部门联合抽查效能，全面推行“一业一查”部门联合模式，切实减少涉企检查频次。</w:t>
      </w:r>
    </w:p>
    <w:p w14:paraId="47798073">
      <w:pPr>
        <w:pStyle w:val="7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20" w:lineRule="exact"/>
        <w:ind w:left="0" w:right="0" w:firstLine="420"/>
        <w:textAlignment w:val="auto"/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</w:rPr>
      </w:pP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深化信用风险差异化抽查，常态化运用企业信用风险分类结果，提升监管精准性和效能。</w:t>
      </w:r>
    </w:p>
    <w:p w14:paraId="73F41E9C">
      <w:pPr>
        <w:pStyle w:val="7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20" w:lineRule="exact"/>
        <w:ind w:left="0" w:right="0" w:firstLine="420"/>
        <w:textAlignment w:val="auto"/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</w:rPr>
      </w:pP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进一步严格工作标准和流程，规范抽查行为，回应</w:t>
      </w:r>
      <w:r>
        <w:rPr>
          <w:rFonts w:hint="eastAsia" w:ascii="Times New Roman" w:hAnsi="Times New Roman" w:eastAsia="仿宋_GB2312" w:cs="仿宋_GB2312"/>
          <w:color w:val="000000"/>
          <w:kern w:val="60"/>
          <w:sz w:val="32"/>
          <w:szCs w:val="32"/>
          <w:lang w:eastAsia="zh-CN"/>
        </w:rPr>
        <w:t>经营主体和</w:t>
      </w: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社会关切，有效防止多头检查、重复检查。</w:t>
      </w:r>
    </w:p>
    <w:p w14:paraId="3DE98A7E">
      <w:pPr>
        <w:pStyle w:val="7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20" w:lineRule="exact"/>
        <w:ind w:left="0" w:right="0" w:firstLine="420"/>
        <w:textAlignment w:val="auto"/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</w:rPr>
      </w:pP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牢固树立寓服务于监管的理念，在抽查检查过程中开展政策宣讲和合规指导。</w:t>
      </w:r>
    </w:p>
    <w:p w14:paraId="73C31EFD">
      <w:pPr>
        <w:pStyle w:val="7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20" w:lineRule="exact"/>
        <w:ind w:left="0" w:right="0" w:firstLine="0"/>
        <w:textAlignment w:val="auto"/>
        <w:rPr>
          <w:rFonts w:hint="eastAsia" w:ascii="Times New Roman" w:hAnsi="Times New Roman" w:eastAsia="仿宋_GB2312" w:cs="黑体"/>
          <w:i w:val="0"/>
          <w:iCs w:val="0"/>
          <w:caps w:val="0"/>
          <w:smallCaps w:val="0"/>
          <w:color w:val="0F1115"/>
          <w:spacing w:val="0"/>
          <w:sz w:val="32"/>
          <w:szCs w:val="32"/>
        </w:rPr>
      </w:pPr>
      <w:r>
        <w:rPr>
          <w:rFonts w:hint="eastAsia" w:ascii="Times New Roman" w:hAnsi="Times New Roman" w:eastAsia="仿宋_GB2312" w:cs="黑体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二、主要工作任务</w:t>
      </w:r>
    </w:p>
    <w:p w14:paraId="0E3FE786">
      <w:pPr>
        <w:pStyle w:val="7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20" w:lineRule="exact"/>
        <w:ind w:left="0" w:right="0" w:firstLine="643" w:firstLineChars="200"/>
        <w:textAlignment w:val="auto"/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</w:rPr>
      </w:pPr>
      <w:r>
        <w:rPr>
          <w:rStyle w:val="10"/>
          <w:rFonts w:hint="eastAsia" w:ascii="Times New Roman" w:hAnsi="Times New Roman" w:eastAsia="仿宋_GB2312" w:cs="仿宋"/>
          <w:b/>
          <w:bCs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（一）夯实基础支撑。</w:t>
      </w: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依托河北省双随机监管工作平台（以下简称省监管平台），做好基础数据维护与使用。各部门要根据法律法规规章立改废释情况以及机构职能调整，及时认领、更新本级随机抽查事项清单，并动态调整完善检查对象名录库和执法检查人员名录库，确保“应纳尽纳”。利用省监管平台中的分类标注功能，对检查对象和执法人员实施精准标注，为精准抽查和匹配提供支撑。（责任单位：各有关部门；完成时限：持续推进）</w:t>
      </w:r>
    </w:p>
    <w:p w14:paraId="29A41029">
      <w:pPr>
        <w:pStyle w:val="7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20" w:lineRule="exact"/>
        <w:ind w:left="0" w:right="0" w:firstLine="643" w:firstLineChars="200"/>
        <w:textAlignment w:val="auto"/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</w:rPr>
      </w:pPr>
      <w:r>
        <w:rPr>
          <w:rStyle w:val="10"/>
          <w:rFonts w:hint="eastAsia" w:ascii="Times New Roman" w:hAnsi="Times New Roman" w:eastAsia="仿宋_GB2312" w:cs="仿宋"/>
          <w:b/>
          <w:bCs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（二）深化联合监管。</w:t>
      </w: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健全完善长效联合抽查机制，按照“能联尽联、能合尽合”原则，强化部门协调联动。以全省“一业一查”部门联合随机抽查事项清单为指引，结合我市监管实际，聚焦涉及领域多、检查频次高的行业，全面推行“一业一查”部门联合随机抽查，并不断拓展联合范围与领域。</w:t>
      </w: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  <w:lang w:eastAsia="zh-CN"/>
        </w:rPr>
        <w:t>除特殊情况外，全市</w:t>
      </w: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“双随机、一公开”</w:t>
      </w: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  <w:lang w:eastAsia="zh-CN"/>
        </w:rPr>
        <w:t>抽查均需采取</w:t>
      </w: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“一业一查”部门联合随机抽查</w:t>
      </w: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  <w:lang w:eastAsia="zh-CN"/>
        </w:rPr>
        <w:t>方式进行。</w:t>
      </w: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（责任单位：各有关部门，完成时限：持续推进）</w:t>
      </w:r>
    </w:p>
    <w:p w14:paraId="7CE23979">
      <w:pPr>
        <w:pStyle w:val="7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20" w:lineRule="exact"/>
        <w:ind w:left="0" w:right="0" w:firstLine="643" w:firstLineChars="200"/>
        <w:textAlignment w:val="auto"/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</w:rPr>
      </w:pPr>
      <w:r>
        <w:rPr>
          <w:rStyle w:val="10"/>
          <w:rFonts w:hint="eastAsia" w:ascii="Times New Roman" w:hAnsi="Times New Roman" w:eastAsia="仿宋_GB2312" w:cs="仿宋"/>
          <w:b/>
          <w:bCs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（三）提升监管效能。</w:t>
      </w: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强化信用风险分类结果与“双随机、一公开”监管的深度融合，将信用风险等级作为确定抽查比例和频次的核心依据，运用信用风险分级分类开展的抽查次数占抽查总次数的比例</w:t>
      </w: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  <w:lang w:eastAsia="zh-CN"/>
        </w:rPr>
        <w:t>达到</w:t>
      </w: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  <w:lang w:val="en-US" w:eastAsia="zh-CN"/>
        </w:rPr>
        <w:t>100%</w:t>
      </w: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。</w:t>
      </w:r>
      <w:r>
        <w:rPr>
          <w:rFonts w:hint="eastAsia" w:ascii="Times New Roman" w:hAnsi="Times New Roman" w:eastAsia="仿宋_GB2312" w:cs="仿宋_GB2312"/>
          <w:snapToGrid w:val="0"/>
          <w:color w:val="000000"/>
          <w:sz w:val="32"/>
          <w:szCs w:val="32"/>
          <w:lang w:val="en-US" w:eastAsia="zh-CN"/>
        </w:rPr>
        <w:t>探索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实施</w:t>
      </w:r>
      <w:r>
        <w:rPr>
          <w:rFonts w:hint="eastAsia" w:ascii="Times New Roman" w:hAnsi="Times New Roman" w:eastAsia="仿宋_GB2312" w:cs="仿宋_GB2312"/>
          <w:sz w:val="32"/>
          <w:szCs w:val="32"/>
        </w:rPr>
        <w:t>“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信用</w:t>
      </w:r>
      <w:r>
        <w:rPr>
          <w:rFonts w:hint="eastAsia" w:ascii="Times New Roman" w:hAnsi="Times New Roman" w:eastAsia="仿宋_GB2312" w:cs="仿宋_GB2312"/>
          <w:sz w:val="32"/>
          <w:szCs w:val="32"/>
        </w:rPr>
        <w:t>标注+双随机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监管</w:t>
      </w:r>
      <w:r>
        <w:rPr>
          <w:rFonts w:hint="eastAsia" w:ascii="Times New Roman" w:hAnsi="Times New Roman" w:eastAsia="仿宋_GB2312" w:cs="仿宋_GB2312"/>
          <w:sz w:val="32"/>
          <w:szCs w:val="32"/>
        </w:rPr>
        <w:t>”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 w:cs="仿宋_GB2312"/>
          <w:sz w:val="32"/>
          <w:szCs w:val="32"/>
        </w:rPr>
        <w:t>将多维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信用</w:t>
      </w:r>
      <w:r>
        <w:rPr>
          <w:rFonts w:hint="eastAsia" w:ascii="Times New Roman" w:hAnsi="Times New Roman" w:eastAsia="仿宋_GB2312" w:cs="仿宋_GB2312"/>
          <w:sz w:val="32"/>
          <w:szCs w:val="32"/>
        </w:rPr>
        <w:t>标注结果作</w:t>
      </w:r>
      <w:r>
        <w:rPr>
          <w:rFonts w:hint="eastAsia" w:ascii="Times New Roman" w:hAnsi="Times New Roman" w:eastAsia="仿宋_GB2312" w:cs="仿宋_GB2312"/>
          <w:color w:val="000000"/>
          <w:sz w:val="32"/>
          <w:szCs w:val="32"/>
        </w:rPr>
        <w:t>为</w:t>
      </w:r>
      <w:r>
        <w:rPr>
          <w:rFonts w:hint="eastAsia" w:ascii="Times New Roman" w:hAnsi="Times New Roman" w:eastAsia="仿宋_GB2312" w:cs="仿宋_GB2312"/>
          <w:color w:val="000000"/>
          <w:sz w:val="32"/>
          <w:szCs w:val="32"/>
          <w:lang w:eastAsia="zh-CN"/>
        </w:rPr>
        <w:t>确定检查对象的</w:t>
      </w:r>
      <w:r>
        <w:rPr>
          <w:rFonts w:hint="eastAsia" w:ascii="Times New Roman" w:hAnsi="Times New Roman" w:eastAsia="仿宋_GB2312" w:cs="仿宋_GB2312"/>
          <w:color w:val="000000"/>
          <w:sz w:val="32"/>
          <w:szCs w:val="32"/>
        </w:rPr>
        <w:t>核心筛选</w:t>
      </w:r>
      <w:r>
        <w:rPr>
          <w:rFonts w:hint="eastAsia" w:ascii="Times New Roman" w:hAnsi="Times New Roman" w:eastAsia="仿宋_GB2312" w:cs="仿宋_GB2312"/>
          <w:color w:val="000000"/>
          <w:sz w:val="32"/>
          <w:szCs w:val="32"/>
          <w:lang w:eastAsia="zh-CN"/>
        </w:rPr>
        <w:t>因素，</w:t>
      </w:r>
      <w:r>
        <w:rPr>
          <w:rFonts w:hint="eastAsia" w:ascii="Times New Roman" w:hAnsi="Times New Roman" w:eastAsia="仿宋_GB2312" w:cs="仿宋_GB2312"/>
          <w:sz w:val="32"/>
          <w:szCs w:val="32"/>
        </w:rPr>
        <w:t>对高风险标注主体提高抽查比例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仿宋_GB2312" w:cs="仿宋_GB2312"/>
          <w:sz w:val="32"/>
          <w:szCs w:val="32"/>
        </w:rPr>
        <w:t>频次；对低风险、信用良好主体大幅降低抽查比例、频次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。探索推广非现场监管，对能通过书面核查、网络监测、视频检查等方式监管的事项，原则上不进行现场检查。</w:t>
      </w:r>
      <w:r>
        <w:rPr>
          <w:rFonts w:hint="eastAsia" w:ascii="Times New Roman" w:hAnsi="Times New Roman" w:eastAsia="仿宋_GB2312" w:cs="仿宋_GB2312"/>
          <w:color w:val="000000"/>
          <w:kern w:val="60"/>
          <w:sz w:val="32"/>
          <w:szCs w:val="32"/>
          <w:lang w:eastAsia="zh-CN"/>
        </w:rPr>
        <w:t>严格落实查前准备和查前业务培训等工作制度，切实提高检查的针对性和执法人员的业务能力，提升抽查检查质效。</w:t>
      </w: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（责任单位：各有关部门，完成时限：持续推进）</w:t>
      </w:r>
    </w:p>
    <w:p w14:paraId="23EDE219">
      <w:pPr>
        <w:pStyle w:val="7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20" w:lineRule="exact"/>
        <w:ind w:left="0" w:right="0" w:firstLine="643" w:firstLineChars="200"/>
        <w:textAlignment w:val="auto"/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</w:rPr>
      </w:pPr>
      <w:r>
        <w:rPr>
          <w:rStyle w:val="10"/>
          <w:rFonts w:hint="eastAsia" w:ascii="Times New Roman" w:hAnsi="Times New Roman" w:eastAsia="仿宋_GB2312" w:cs="仿宋"/>
          <w:b/>
          <w:bCs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（四）规范抽查程序。</w:t>
      </w:r>
      <w:r>
        <w:rPr>
          <w:rFonts w:hint="eastAsia" w:ascii="Times New Roman" w:hAnsi="Times New Roman" w:eastAsia="仿宋_GB2312" w:cs="仿宋_GB2312"/>
          <w:snapToGrid w:val="0"/>
          <w:color w:val="000000"/>
          <w:sz w:val="32"/>
          <w:szCs w:val="32"/>
          <w:lang w:eastAsia="zh-CN"/>
        </w:rPr>
        <w:t>严格计划管理，各有关部门要科学合理制定</w:t>
      </w:r>
      <w:r>
        <w:rPr>
          <w:rFonts w:hint="eastAsia" w:ascii="Times New Roman" w:hAnsi="Times New Roman" w:eastAsia="仿宋_GB2312" w:cs="仿宋_GB2312"/>
          <w:color w:val="000000"/>
          <w:kern w:val="60"/>
          <w:sz w:val="32"/>
          <w:szCs w:val="32"/>
        </w:rPr>
        <w:t>年度抽</w:t>
      </w:r>
      <w:r>
        <w:rPr>
          <w:rFonts w:hint="eastAsia" w:ascii="Times New Roman" w:hAnsi="Times New Roman" w:eastAsia="仿宋_GB2312" w:cs="仿宋_GB2312"/>
          <w:snapToGrid w:val="0"/>
          <w:color w:val="000000"/>
          <w:sz w:val="32"/>
          <w:szCs w:val="32"/>
          <w:lang w:eastAsia="zh-CN"/>
        </w:rPr>
        <w:t>查工作计</w:t>
      </w:r>
      <w:r>
        <w:rPr>
          <w:rFonts w:hint="eastAsia" w:ascii="Times New Roman" w:hAnsi="Times New Roman" w:eastAsia="仿宋_GB2312" w:cs="仿宋_GB2312"/>
          <w:color w:val="000000"/>
          <w:kern w:val="60"/>
          <w:sz w:val="32"/>
          <w:szCs w:val="32"/>
        </w:rPr>
        <w:t>划</w:t>
      </w:r>
      <w:r>
        <w:rPr>
          <w:rFonts w:hint="eastAsia" w:ascii="Times New Roman" w:hAnsi="Times New Roman" w:eastAsia="仿宋_GB2312" w:cs="仿宋_GB2312"/>
          <w:color w:val="000000"/>
          <w:kern w:val="60"/>
          <w:sz w:val="32"/>
          <w:szCs w:val="32"/>
          <w:lang w:eastAsia="zh-CN"/>
        </w:rPr>
        <w:t>，及时</w:t>
      </w:r>
      <w:r>
        <w:rPr>
          <w:rFonts w:hint="eastAsia" w:ascii="Times New Roman" w:hAnsi="Times New Roman" w:eastAsia="仿宋_GB2312" w:cs="仿宋_GB2312"/>
          <w:color w:val="000000"/>
          <w:kern w:val="60"/>
          <w:sz w:val="32"/>
          <w:szCs w:val="32"/>
        </w:rPr>
        <w:t>向社会</w:t>
      </w:r>
      <w:r>
        <w:rPr>
          <w:rFonts w:hint="eastAsia" w:ascii="Times New Roman" w:hAnsi="Times New Roman" w:eastAsia="仿宋_GB2312" w:cs="仿宋_GB2312"/>
          <w:color w:val="000000"/>
          <w:kern w:val="60"/>
          <w:sz w:val="32"/>
          <w:szCs w:val="32"/>
          <w:lang w:eastAsia="zh-CN"/>
        </w:rPr>
        <w:t>公开，</w:t>
      </w:r>
      <w:r>
        <w:rPr>
          <w:rFonts w:hint="eastAsia" w:ascii="Times New Roman" w:hAnsi="Times New Roman" w:eastAsia="仿宋_GB2312" w:cs="仿宋_GB2312"/>
          <w:snapToGrid w:val="0"/>
          <w:color w:val="000000"/>
          <w:sz w:val="32"/>
          <w:szCs w:val="32"/>
          <w:lang w:eastAsia="zh-CN"/>
        </w:rPr>
        <w:t>并</w:t>
      </w:r>
      <w:r>
        <w:rPr>
          <w:rFonts w:hint="eastAsia" w:ascii="Times New Roman" w:hAnsi="Times New Roman" w:eastAsia="仿宋_GB2312" w:cs="仿宋_GB2312"/>
          <w:color w:val="000000"/>
          <w:kern w:val="60"/>
          <w:sz w:val="32"/>
          <w:szCs w:val="32"/>
        </w:rPr>
        <w:t>按照年度抽查</w:t>
      </w:r>
      <w:r>
        <w:rPr>
          <w:rFonts w:hint="eastAsia" w:ascii="Times New Roman" w:hAnsi="Times New Roman" w:eastAsia="仿宋_GB2312" w:cs="仿宋_GB2312"/>
          <w:color w:val="000000"/>
          <w:kern w:val="60"/>
          <w:sz w:val="32"/>
          <w:szCs w:val="32"/>
          <w:lang w:eastAsia="zh-CN"/>
        </w:rPr>
        <w:t>工作</w:t>
      </w:r>
      <w:r>
        <w:rPr>
          <w:rFonts w:hint="eastAsia" w:ascii="Times New Roman" w:hAnsi="Times New Roman" w:eastAsia="仿宋_GB2312" w:cs="仿宋_GB2312"/>
          <w:color w:val="000000"/>
          <w:kern w:val="60"/>
          <w:sz w:val="32"/>
          <w:szCs w:val="32"/>
        </w:rPr>
        <w:t>计划</w:t>
      </w:r>
      <w:r>
        <w:rPr>
          <w:rFonts w:hint="eastAsia" w:ascii="Times New Roman" w:hAnsi="Times New Roman" w:eastAsia="仿宋_GB2312" w:cs="仿宋_GB2312"/>
          <w:color w:val="000000"/>
          <w:kern w:val="60"/>
          <w:sz w:val="32"/>
          <w:szCs w:val="32"/>
          <w:lang w:eastAsia="zh-CN"/>
        </w:rPr>
        <w:t>组织实施。</w:t>
      </w:r>
      <w:r>
        <w:rPr>
          <w:rFonts w:hint="eastAsia" w:ascii="Times New Roman" w:hAnsi="Times New Roman" w:eastAsia="仿宋_GB2312" w:cs="仿宋_GB2312"/>
          <w:sz w:val="32"/>
          <w:szCs w:val="32"/>
        </w:rPr>
        <w:t>对未列入年度计划但实际工作需要开展的抽查，或已列入但需要调整的抽查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计划</w:t>
      </w:r>
      <w:r>
        <w:rPr>
          <w:rFonts w:hint="eastAsia" w:ascii="Times New Roman" w:hAnsi="Times New Roman" w:eastAsia="仿宋_GB2312" w:cs="仿宋_GB2312"/>
          <w:sz w:val="32"/>
          <w:szCs w:val="32"/>
        </w:rPr>
        <w:t>，严格履行相关程序，调整并公示后方可开展</w:t>
      </w:r>
      <w:r>
        <w:rPr>
          <w:rFonts w:hint="eastAsia" w:ascii="Times New Roman" w:hAnsi="Times New Roman" w:eastAsia="仿宋_GB2312" w:cs="仿宋_GB2312"/>
          <w:color w:val="000000"/>
          <w:kern w:val="60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仿宋_GB2312" w:cs="仿宋_GB2312"/>
          <w:sz w:val="32"/>
          <w:szCs w:val="32"/>
        </w:rPr>
        <w:t>规范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抽查</w:t>
      </w:r>
      <w:r>
        <w:rPr>
          <w:rFonts w:hint="eastAsia" w:ascii="Times New Roman" w:hAnsi="Times New Roman" w:eastAsia="仿宋_GB2312" w:cs="仿宋_GB2312"/>
          <w:sz w:val="32"/>
          <w:szCs w:val="32"/>
        </w:rPr>
        <w:t>行为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 w:cs="仿宋_GB2312"/>
          <w:snapToGrid w:val="0"/>
          <w:color w:val="000000"/>
          <w:sz w:val="32"/>
          <w:szCs w:val="32"/>
          <w:lang w:eastAsia="zh-CN"/>
        </w:rPr>
        <w:t>各有关部门认真落实《河北省“双随机、一公开”监管工作规范》</w:t>
      </w:r>
      <w:r>
        <w:rPr>
          <w:rFonts w:ascii="Times New Roman" w:hAnsi="Times New Roman" w:eastAsia="仿宋_GB2312" w:cs="仿宋_GB2312"/>
          <w:snapToGrid w:val="0"/>
          <w:color w:val="000000"/>
          <w:sz w:val="32"/>
          <w:szCs w:val="32"/>
          <w:lang w:eastAsia="zh-CN"/>
        </w:rPr>
        <w:t>、</w:t>
      </w:r>
      <w:r>
        <w:rPr>
          <w:rFonts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《晋州市规范涉企行政检查管理办法（试行）的通知》</w:t>
      </w:r>
      <w:r>
        <w:rPr>
          <w:rFonts w:hint="eastAsia" w:ascii="Times New Roman" w:hAnsi="Times New Roman" w:eastAsia="仿宋_GB2312" w:cs="仿宋_GB2312"/>
          <w:snapToGrid w:val="0"/>
          <w:color w:val="000000"/>
          <w:sz w:val="32"/>
          <w:szCs w:val="32"/>
          <w:lang w:eastAsia="zh-CN"/>
        </w:rPr>
        <w:t>要求，严格工作流程和标准。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检查人员要持证上岗、亮证执法，严格执行“扫码入企”规定，规范填写检查记录表，做到全程留痕、责任可追溯。健全随机抽查后续处置机制，实现监管闭环，抽查结束后，要及时公示检查结果；对检查中发现的违法违规行为，要依法依规处理；对属于其他部门管辖的，及时移交相关部门；对涉嫌犯罪的，及时移送司法机关。</w:t>
      </w:r>
      <w:r>
        <w:rPr>
          <w:rFonts w:hint="eastAsia" w:ascii="Times New Roman" w:hAnsi="Times New Roman" w:eastAsia="仿宋_GB2312" w:cs="仿宋_GB2312"/>
          <w:snapToGrid w:val="0"/>
          <w:color w:val="000000"/>
          <w:sz w:val="32"/>
          <w:szCs w:val="32"/>
          <w:lang w:eastAsia="zh-CN"/>
        </w:rPr>
        <w:t>加强与信用监管衔接，</w:t>
      </w:r>
      <w:r>
        <w:rPr>
          <w:rFonts w:hint="eastAsia" w:ascii="Times New Roman" w:hAnsi="Times New Roman" w:eastAsia="仿宋_GB2312" w:cs="仿宋_GB2312"/>
          <w:color w:val="000000"/>
          <w:kern w:val="60"/>
          <w:sz w:val="32"/>
          <w:szCs w:val="32"/>
        </w:rPr>
        <w:t>对抽查发现违法失信行为实施联合惩戒，</w:t>
      </w:r>
      <w:r>
        <w:rPr>
          <w:rFonts w:hint="eastAsia" w:ascii="Times New Roman" w:hAnsi="Times New Roman" w:eastAsia="仿宋_GB2312" w:cs="仿宋_GB2312"/>
          <w:color w:val="000000"/>
          <w:kern w:val="60"/>
          <w:sz w:val="32"/>
          <w:szCs w:val="32"/>
          <w:lang w:eastAsia="zh-CN"/>
        </w:rPr>
        <w:t>增强随机抽查的震慑力。</w:t>
      </w: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（责任单位：各有关部门，完成时限：持续推进）</w:t>
      </w:r>
    </w:p>
    <w:p w14:paraId="48FAA996">
      <w:pPr>
        <w:pStyle w:val="7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20" w:lineRule="exact"/>
        <w:ind w:left="0" w:right="0" w:firstLine="643" w:firstLineChars="200"/>
        <w:textAlignment w:val="auto"/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</w:rPr>
      </w:pPr>
      <w:r>
        <w:rPr>
          <w:rStyle w:val="10"/>
          <w:rFonts w:hint="eastAsia" w:ascii="Times New Roman" w:hAnsi="Times New Roman" w:eastAsia="仿宋_GB2312" w:cs="仿宋"/>
          <w:b/>
          <w:bCs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（五）增强服务意识。</w:t>
      </w: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各有关部门要推行服务型监管，在抽查检查中主动开展法律法规和政策宣传，提供合规指导，帮助经营主体防范风险、整改问题。积极回应市场主体诉求，提升监管服务温度和效能。（责任单位：各有关部门，完成时限：持续推进）</w:t>
      </w:r>
    </w:p>
    <w:p w14:paraId="1621F716">
      <w:pPr>
        <w:pStyle w:val="7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20" w:lineRule="exact"/>
        <w:ind w:left="0" w:right="0" w:firstLine="643" w:firstLineChars="200"/>
        <w:textAlignment w:val="auto"/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</w:rPr>
      </w:pPr>
      <w:r>
        <w:rPr>
          <w:rStyle w:val="10"/>
          <w:rFonts w:hint="eastAsia" w:ascii="Times New Roman" w:hAnsi="Times New Roman" w:eastAsia="仿宋_GB2312" w:cs="仿宋"/>
          <w:b/>
          <w:bCs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（六）加强宣传培训。</w:t>
      </w: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认真总结提炼工作经验，通过多种渠道宣传“双随机、一公开”监管政策和成效，提升社会认知度。常态化开展业务培训和系统操作培训，重点加强联合抽查、信用分类应用、非现场检查等能力的培训，提升执法人员综合素质和履职能力。（责任单位：各有关部门，完成时限：持续推进）</w:t>
      </w:r>
    </w:p>
    <w:p w14:paraId="69C6FFBE">
      <w:pPr>
        <w:pStyle w:val="7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20" w:lineRule="exact"/>
        <w:ind w:left="0" w:right="0" w:firstLine="0"/>
        <w:textAlignment w:val="auto"/>
        <w:rPr>
          <w:rFonts w:hint="eastAsia" w:ascii="Times New Roman" w:hAnsi="Times New Roman" w:eastAsia="仿宋_GB2312" w:cs="黑体"/>
          <w:i w:val="0"/>
          <w:iCs w:val="0"/>
          <w:caps w:val="0"/>
          <w:smallCaps w:val="0"/>
          <w:color w:val="0F1115"/>
          <w:spacing w:val="0"/>
          <w:sz w:val="32"/>
          <w:szCs w:val="32"/>
        </w:rPr>
      </w:pPr>
      <w:r>
        <w:rPr>
          <w:rFonts w:hint="eastAsia" w:ascii="Times New Roman" w:hAnsi="Times New Roman" w:eastAsia="仿宋_GB2312" w:cs="黑体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三、工作要求</w:t>
      </w:r>
    </w:p>
    <w:p w14:paraId="046FBC14">
      <w:pPr>
        <w:pStyle w:val="7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20" w:lineRule="exact"/>
        <w:ind w:left="0" w:right="0" w:firstLine="643" w:firstLineChars="200"/>
        <w:textAlignment w:val="auto"/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</w:rPr>
      </w:pPr>
      <w:r>
        <w:rPr>
          <w:rStyle w:val="10"/>
          <w:rFonts w:hint="eastAsia" w:ascii="Times New Roman" w:hAnsi="Times New Roman" w:eastAsia="仿宋_GB2312" w:cs="仿宋"/>
          <w:b/>
          <w:bCs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（一）提高认识，加强领导。</w:t>
      </w: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全市各有关部门要充分认识“双随机、一公开”监管对优化营商环境、构建新型监管机制的重要意义，加强组织领导，健全工作机制，细化举措，压实责任，确保各项任务落地见效。</w:t>
      </w:r>
    </w:p>
    <w:p w14:paraId="1691EA8F">
      <w:pPr>
        <w:pStyle w:val="7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20" w:lineRule="exact"/>
        <w:ind w:left="0" w:right="0" w:firstLine="643" w:firstLineChars="200"/>
        <w:textAlignment w:val="auto"/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</w:rPr>
      </w:pPr>
      <w:r>
        <w:rPr>
          <w:rStyle w:val="10"/>
          <w:rFonts w:hint="eastAsia" w:ascii="Times New Roman" w:hAnsi="Times New Roman" w:eastAsia="仿宋_GB2312" w:cs="仿宋"/>
          <w:b/>
          <w:bCs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（二）履职尽责，协同推进。</w:t>
      </w: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市场监管部门要发挥好牵头协调作用，加强统筹调度。各相关部门要强化大局意识，牢固树立“一盘棋”思想，主动履职，密切配合，形成工作合力。</w:t>
      </w:r>
    </w:p>
    <w:p w14:paraId="654F86D3">
      <w:pPr>
        <w:pStyle w:val="7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20" w:lineRule="exact"/>
        <w:ind w:left="0" w:right="0" w:firstLine="643" w:firstLineChars="200"/>
        <w:textAlignment w:val="auto"/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</w:pPr>
      <w:r>
        <w:rPr>
          <w:rStyle w:val="10"/>
          <w:rFonts w:hint="eastAsia" w:ascii="Times New Roman" w:hAnsi="Times New Roman" w:eastAsia="仿宋_GB2312" w:cs="仿宋"/>
          <w:b/>
          <w:bCs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（三）严肃纪律，跟踪问效。</w:t>
      </w: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各有关部门要</w:t>
      </w: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  <w:lang w:eastAsia="zh-CN"/>
        </w:rPr>
        <w:t>严格按照</w:t>
      </w: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《国务院办公厅关于严格规范涉企行政检查的意见》（国办发〔2024〕54号）</w:t>
      </w: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  <w:lang w:eastAsia="zh-CN"/>
        </w:rPr>
        <w:t>中“五个严禁”、“八个不得”的要求，强化</w:t>
      </w: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随机</w:t>
      </w: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  <w:lang w:eastAsia="zh-CN"/>
        </w:rPr>
        <w:t>抽查工作全流程管控，严格规范公正文明，切实提升随机抽查工作效能。</w:t>
      </w:r>
    </w:p>
    <w:p w14:paraId="388845D0">
      <w:pPr>
        <w:pStyle w:val="7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20" w:lineRule="exact"/>
        <w:ind w:left="0" w:right="0" w:firstLine="640" w:firstLineChars="200"/>
        <w:textAlignment w:val="auto"/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各有关部门要注重总结经验，发掘典型案例，及时推广有效做法。市场监管局</w:t>
      </w:r>
      <w:r>
        <w:rPr>
          <w:rFonts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以及</w:t>
      </w: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市有关部门请于3月</w:t>
      </w:r>
      <w:r>
        <w:rPr>
          <w:rFonts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15</w:t>
      </w: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日、6月</w:t>
      </w:r>
      <w:r>
        <w:rPr>
          <w:rFonts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15</w:t>
      </w: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日、9月</w:t>
      </w:r>
      <w:r>
        <w:rPr>
          <w:rFonts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15</w:t>
      </w: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日、12月</w:t>
      </w:r>
      <w:r>
        <w:rPr>
          <w:rFonts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15</w:t>
      </w: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日前，将本部门“双随机、一公开”监管工作进展情况或总结报送至市市场监管局指定邮箱</w:t>
      </w:r>
      <w:r>
        <w:rPr>
          <w:rFonts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jzsgsjqjk@163.com</w:t>
      </w:r>
      <w:r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。</w:t>
      </w:r>
    </w:p>
    <w:p w14:paraId="32CE86F7">
      <w:pPr>
        <w:pStyle w:val="7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20" w:lineRule="exact"/>
        <w:ind w:left="0" w:right="0" w:firstLine="640" w:firstLineChars="200"/>
        <w:textAlignment w:val="auto"/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</w:pPr>
    </w:p>
    <w:p w14:paraId="004D1486">
      <w:pPr>
        <w:pStyle w:val="7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20" w:lineRule="exact"/>
        <w:ind w:left="0" w:right="0" w:firstLine="0"/>
        <w:textAlignment w:val="auto"/>
        <w:rPr>
          <w:rFonts w:hint="eastAsia" w:ascii="Times New Roman" w:hAnsi="Times New Roman" w:eastAsia="仿宋_GB2312" w:cs="仿宋"/>
          <w:i w:val="0"/>
          <w:iCs w:val="0"/>
          <w:caps w:val="0"/>
          <w:smallCaps w:val="0"/>
          <w:color w:val="0F1115"/>
          <w:spacing w:val="0"/>
          <w:sz w:val="32"/>
          <w:szCs w:val="32"/>
        </w:rPr>
      </w:pPr>
    </w:p>
    <w:sectPr>
      <w:footerReference r:id="rId3" w:type="default"/>
      <w:pgSz w:w="11906" w:h="16838"/>
      <w:pgMar w:top="1417" w:right="1417" w:bottom="1417" w:left="1417" w:header="851" w:footer="992" w:gutter="0"/>
      <w:pgNumType w:fmt="decimal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Lucida Sans">
    <w:altName w:val="Lucida Sans Unicode"/>
    <w:panose1 w:val="020B0602030504020204"/>
    <w:charset w:val="00"/>
    <w:family w:val="auto"/>
    <w:pitch w:val="default"/>
    <w:sig w:usb0="00000000" w:usb1="00000000" w:usb2="00000000" w:usb3="00000000" w:csb0="20000001" w:csb1="00000000"/>
  </w:font>
  <w:font w:name="方正兰亭黑_GBK">
    <w:altName w:val="微软雅黑"/>
    <w:panose1 w:val="02000000000000000000"/>
    <w:charset w:val="86"/>
    <w:family w:val="script"/>
    <w:pitch w:val="default"/>
    <w:sig w:usb0="00000000" w:usb1="00000000" w:usb2="0008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Lucida Sans Unicode">
    <w:panose1 w:val="020B0602030504020204"/>
    <w:charset w:val="00"/>
    <w:family w:val="auto"/>
    <w:pitch w:val="default"/>
    <w:sig w:usb0="80001AFF" w:usb1="0000396B" w:usb2="00000000" w:usb3="00000000" w:csb0="200000BF" w:csb1="D7F7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KSOF82BD94DB">
    <w:panose1 w:val="020B07030202040202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1E376F4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76200" cy="13335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200" cy="133052"/>
                      </a:xfrm>
                      <a:prstGeom prst="rect">
                        <a:avLst/>
                      </a:prstGeom>
                      <a:noFill/>
                      <a:ln w="6350" cap="flat" cmpd="sng">
                        <a:noFill/>
                        <a:prstDash val="solid"/>
                        <a:round/>
                      </a:ln>
                    </wps:spPr>
                    <wps:txbx>
                      <w:txbxContent>
                        <w:p w14:paraId="3D77F9DB">
                          <w:pPr>
                            <w:pStyle w:val="5"/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2" o:spid="_x0000_s1026" o:spt="1" style="position:absolute;left:0pt;margin-top:0pt;height:10.5pt;width:6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">
              <v:fill on="f" focussize="0,0"/>
              <v:stroke on="f" weight="0.5pt" joinstyle="round"/>
              <v:imagedata o:title=""/>
              <o:lock v:ext="edit" aspectratio="f"/>
              <v:textbox inset="0mm,0mm,0mm,0mm" style="mso-fit-shape-to-text:t;">
                <w:txbxContent>
                  <w:p w14:paraId="3D77F9DB">
                    <w:pPr>
                      <w:pStyle w:val="5"/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rect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2ADC247"/>
    <w:multiLevelType w:val="singleLevel"/>
    <w:tmpl w:val="52ADC247"/>
    <w:lvl w:ilvl="0" w:tentative="0">
      <w:start w:val="1"/>
      <w:numFmt w:val="chineseCounting"/>
      <w:suff w:val="nothing"/>
      <w:lvlText w:val="（%1）"/>
      <w:lvlJc w:val="left"/>
      <w:pPr>
        <w:ind w:left="0" w:firstLine="42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ulTrailSpace/>
    <w:doNotExpandShiftReturn/>
    <w:adjustLineHeightInTable/>
    <w:useFELayout/>
    <w:doNotUseIndentAsNumberingTabStop/>
    <w:compatSetting w:name="compatibilityMode" w:uri="http://schemas.microsoft.com/office/word" w:val="14"/>
  </w:compat>
  <w:rsids>
    <w:rsidRoot w:val="00000000"/>
    <w:rsid w:val="27C77E89"/>
    <w:rsid w:val="4AB443B1"/>
    <w:rsid w:val="611046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Lucida Sans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2"/>
    <w:qFormat/>
    <w:uiPriority w:val="0"/>
    <w:pPr>
      <w:keepNext/>
      <w:keepLines/>
      <w:spacing w:before="260" w:after="260" w:line="415" w:lineRule="auto"/>
      <w:outlineLvl w:val="1"/>
    </w:pPr>
    <w:rPr>
      <w:rFonts w:ascii="方正兰亭黑_GBK" w:hAnsi="方正兰亭黑_GBK" w:eastAsia="黑体"/>
      <w:b/>
      <w:bCs/>
      <w:sz w:val="32"/>
      <w:szCs w:val="32"/>
    </w:rPr>
  </w:style>
  <w:style w:type="paragraph" w:styleId="4">
    <w:name w:val="heading 3"/>
    <w:basedOn w:val="1"/>
    <w:next w:val="1"/>
    <w:link w:val="13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9">
    <w:name w:val="Default Paragraph Font"/>
    <w:qFormat/>
    <w:uiPriority w:val="0"/>
  </w:style>
  <w:style w:type="table" w:default="1" w:styleId="8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Normal (Web)"/>
    <w:basedOn w:val="1"/>
    <w:qFormat/>
    <w:uiPriority w:val="0"/>
    <w:rPr>
      <w:sz w:val="24"/>
    </w:rPr>
  </w:style>
  <w:style w:type="character" w:styleId="10">
    <w:name w:val="Strong"/>
    <w:basedOn w:val="9"/>
    <w:qFormat/>
    <w:uiPriority w:val="0"/>
    <w:rPr>
      <w:b/>
    </w:rPr>
  </w:style>
  <w:style w:type="character" w:customStyle="1" w:styleId="11">
    <w:name w:val="heading 1 Char"/>
    <w:basedOn w:val="9"/>
    <w:link w:val="2"/>
    <w:uiPriority w:val="0"/>
    <w:rPr>
      <w:rFonts w:ascii="Calibri" w:hAnsi="Calibri" w:eastAsia="宋体" w:cs="Arial"/>
      <w:b/>
      <w:bCs/>
      <w:kern w:val="44"/>
      <w:sz w:val="44"/>
      <w:szCs w:val="44"/>
      <w:lang w:val="en-US" w:eastAsia="zh-CN" w:bidi="ar-SA"/>
    </w:rPr>
  </w:style>
  <w:style w:type="character" w:customStyle="1" w:styleId="12">
    <w:name w:val="heading 2 Char"/>
    <w:basedOn w:val="9"/>
    <w:link w:val="3"/>
    <w:uiPriority w:val="0"/>
    <w:rPr>
      <w:rFonts w:ascii="方正兰亭黑_GBK" w:hAnsi="方正兰亭黑_GBK" w:eastAsia="黑体" w:cs="Arial"/>
      <w:b/>
      <w:bCs/>
      <w:kern w:val="2"/>
      <w:sz w:val="32"/>
      <w:szCs w:val="32"/>
      <w:lang w:val="en-US" w:eastAsia="zh-CN" w:bidi="ar-SA"/>
    </w:rPr>
  </w:style>
  <w:style w:type="character" w:customStyle="1" w:styleId="13">
    <w:name w:val="heading 3 Char"/>
    <w:basedOn w:val="9"/>
    <w:link w:val="4"/>
    <w:uiPriority w:val="0"/>
    <w:rPr>
      <w:rFonts w:ascii="Calibri" w:hAnsi="Calibri" w:eastAsia="宋体" w:cs="Arial"/>
      <w:b/>
      <w:bCs/>
      <w:kern w:val="2"/>
      <w:sz w:val="32"/>
      <w:szCs w:val="3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 主题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主题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ap="flat" cmpd="sng">
          <a:solidFill>
            <a:schemeClr val="phClr"/>
          </a:solidFill>
          <a:prstDash val="solid"/>
          <a:miter/>
        </a:ln>
        <a:ln w="12700" cap="flat" cmpd="sng">
          <a:solidFill>
            <a:schemeClr val="phClr"/>
          </a:solidFill>
          <a:prstDash val="solid"/>
          <a:miter/>
        </a:ln>
        <a:ln w="19050" cap="flat" cmpd="sng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9C070BC-7966-4818-8F38-515E3112557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5</Pages>
  <Words>2193</Words>
  <Characters>2237</Characters>
  <Lines>0</Lines>
  <Paragraphs>23</Paragraphs>
  <TotalTime>0</TotalTime>
  <ScaleCrop>false</ScaleCrop>
  <LinksUpToDate>false</LinksUpToDate>
  <CharactersWithSpaces>2237</CharactersWithSpaces>
  <Application>WPS Office_12.1.0.25225_F1E327BC-269C-435d-A152-05C5408002CA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2026-02-04T01:17:00Z</dcterms:created>
  <dc:creator>宁森淼</dc:creator>
  <cp:lastModifiedBy>有吼食龙</cp:lastModifiedBy>
  <cp:lastPrinted>2026-03-02T01:00:00Z</cp:lastPrinted>
  <dcterms:modified xsi:type="dcterms:W3CDTF">2026-04-07T02:11:41Z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6B73C01D2FA44C0B8307AD4DB19C172F_13</vt:lpwstr>
  </property>
  <property fmtid="{D5CDD505-2E9C-101B-9397-08002B2CF9AE}" pid="4" name="KSOTemplateDocerSaveRecord">
    <vt:lpwstr>eyJoZGlkIjoiYmE2NWFjYWMwMjIyNzNmNTU0Nzc5YjQ1NTA3NDViZTEiLCJ1c2VySWQiOiI5NjMxMTM2NDgifQ==</vt:lpwstr>
  </property>
</Properties>
</file>